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9B" w:rsidRPr="00AA4C9B" w:rsidRDefault="00AA4C9B" w:rsidP="008A4834">
      <w:pPr>
        <w:spacing w:after="0"/>
        <w:jc w:val="both"/>
        <w:rPr>
          <w:rFonts w:ascii="Times New Roman" w:hAnsi="Times New Roman" w:cs="Times New Roman"/>
          <w:b/>
          <w:sz w:val="24"/>
          <w:szCs w:val="24"/>
          <w:lang w:val="de-DE"/>
        </w:rPr>
      </w:pPr>
      <w:r w:rsidRPr="00AA4C9B">
        <w:rPr>
          <w:rFonts w:ascii="extravaganzza" w:hAnsi="extravaganzza" w:cs="Times New Roman"/>
          <w:b/>
          <w:sz w:val="24"/>
          <w:szCs w:val="24"/>
          <w:lang w:val="de-DE"/>
        </w:rPr>
        <w:t xml:space="preserve">DIE FEUERWAFFENRICHTLINIE DER EU: </w:t>
      </w:r>
      <w:r w:rsidR="00755A7D">
        <w:rPr>
          <w:rFonts w:ascii="extravaganzza" w:hAnsi="extravaganzza" w:cs="Times New Roman"/>
          <w:b/>
          <w:sz w:val="24"/>
          <w:szCs w:val="24"/>
          <w:lang w:val="de-DE"/>
        </w:rPr>
        <w:t>ENTWICKLUNGEN</w:t>
      </w:r>
      <w:r w:rsidRPr="00AA4C9B">
        <w:rPr>
          <w:rFonts w:ascii="Times New Roman" w:hAnsi="Times New Roman" w:cs="Times New Roman"/>
          <w:b/>
          <w:sz w:val="24"/>
          <w:szCs w:val="24"/>
          <w:lang w:val="de-DE"/>
        </w:rPr>
        <w:t xml:space="preserve"> </w:t>
      </w:r>
    </w:p>
    <w:p w:rsidR="008A4834" w:rsidRPr="00AA4C9B" w:rsidRDefault="008A4834" w:rsidP="008A4834">
      <w:pPr>
        <w:spacing w:after="0"/>
        <w:jc w:val="both"/>
        <w:rPr>
          <w:rFonts w:ascii="Garamond" w:hAnsi="Garamond" w:cs="Times New Roman"/>
          <w:sz w:val="24"/>
          <w:szCs w:val="24"/>
          <w:lang w:val="de-DE"/>
        </w:rPr>
      </w:pPr>
    </w:p>
    <w:p w:rsidR="00AA4C9B" w:rsidRPr="00AA4C9B" w:rsidRDefault="00AA4C9B" w:rsidP="008A4834">
      <w:pPr>
        <w:spacing w:after="0"/>
        <w:jc w:val="both"/>
        <w:rPr>
          <w:rFonts w:ascii="Garamond" w:hAnsi="Garamond" w:cs="Times New Roman"/>
          <w:sz w:val="24"/>
          <w:szCs w:val="24"/>
          <w:lang w:val="de-DE"/>
        </w:rPr>
      </w:pPr>
      <w:r w:rsidRPr="00AA4C9B">
        <w:rPr>
          <w:rFonts w:ascii="Garamond" w:hAnsi="Garamond" w:cs="Times New Roman"/>
          <w:sz w:val="24"/>
          <w:szCs w:val="24"/>
          <w:lang w:val="de-DE"/>
        </w:rPr>
        <w:t>In Verbindung mit Feuerwaffen gibt es</w:t>
      </w:r>
      <w:r w:rsidR="004679B4">
        <w:rPr>
          <w:rFonts w:ascii="Garamond" w:hAnsi="Garamond" w:cs="Times New Roman"/>
          <w:sz w:val="24"/>
          <w:szCs w:val="24"/>
          <w:lang w:val="de-DE"/>
        </w:rPr>
        <w:t xml:space="preserve"> </w:t>
      </w:r>
      <w:r w:rsidRPr="00AA4C9B">
        <w:rPr>
          <w:rFonts w:ascii="Garamond" w:hAnsi="Garamond" w:cs="Times New Roman"/>
          <w:sz w:val="24"/>
          <w:szCs w:val="24"/>
          <w:lang w:val="de-DE"/>
        </w:rPr>
        <w:t>auf internationaler wie EU-Eb</w:t>
      </w:r>
      <w:r>
        <w:rPr>
          <w:rFonts w:ascii="Garamond" w:hAnsi="Garamond" w:cs="Times New Roman"/>
          <w:sz w:val="24"/>
          <w:szCs w:val="24"/>
          <w:lang w:val="de-DE"/>
        </w:rPr>
        <w:t>e</w:t>
      </w:r>
      <w:r w:rsidRPr="00AA4C9B">
        <w:rPr>
          <w:rFonts w:ascii="Garamond" w:hAnsi="Garamond" w:cs="Times New Roman"/>
          <w:sz w:val="24"/>
          <w:szCs w:val="24"/>
          <w:lang w:val="de-DE"/>
        </w:rPr>
        <w:t>ne</w:t>
      </w:r>
      <w:r w:rsidR="004679B4">
        <w:rPr>
          <w:rFonts w:ascii="Garamond" w:hAnsi="Garamond" w:cs="Times New Roman"/>
          <w:sz w:val="24"/>
          <w:szCs w:val="24"/>
          <w:lang w:val="de-DE"/>
        </w:rPr>
        <w:t xml:space="preserve"> </w:t>
      </w:r>
      <w:r w:rsidR="004679B4" w:rsidRPr="00AA4C9B">
        <w:rPr>
          <w:rFonts w:ascii="Garamond" w:hAnsi="Garamond" w:cs="Times New Roman"/>
          <w:sz w:val="24"/>
          <w:szCs w:val="24"/>
          <w:lang w:val="de-DE"/>
        </w:rPr>
        <w:t>eine Reihe jüngerer Initiativen</w:t>
      </w:r>
      <w:r w:rsidR="004679B4">
        <w:rPr>
          <w:rFonts w:ascii="Garamond" w:hAnsi="Garamond" w:cs="Times New Roman"/>
          <w:sz w:val="24"/>
          <w:szCs w:val="24"/>
          <w:lang w:val="de-DE"/>
        </w:rPr>
        <w:t xml:space="preserve"> mit möglichen unmittelbaren Konsequenzen für uns Jäger</w:t>
      </w:r>
      <w:r w:rsidRPr="00AA4C9B">
        <w:rPr>
          <w:rFonts w:ascii="Garamond" w:hAnsi="Garamond" w:cs="Times New Roman"/>
          <w:sz w:val="24"/>
          <w:szCs w:val="24"/>
          <w:lang w:val="de-DE"/>
        </w:rPr>
        <w:t xml:space="preserve">. </w:t>
      </w:r>
      <w:r>
        <w:rPr>
          <w:rFonts w:ascii="Garamond" w:hAnsi="Garamond" w:cs="Times New Roman"/>
          <w:sz w:val="24"/>
          <w:szCs w:val="24"/>
          <w:lang w:val="de-DE"/>
        </w:rPr>
        <w:t>Wir wollen Ihnen an dieser Stelle einen Überblick über die laufenden Entwicklungen und</w:t>
      </w:r>
      <w:r w:rsidR="0074257A">
        <w:rPr>
          <w:rFonts w:ascii="Garamond" w:hAnsi="Garamond" w:cs="Times New Roman"/>
          <w:sz w:val="24"/>
          <w:szCs w:val="24"/>
          <w:lang w:val="de-DE"/>
        </w:rPr>
        <w:t xml:space="preserve"> die</w:t>
      </w:r>
      <w:r>
        <w:rPr>
          <w:rFonts w:ascii="Garamond" w:hAnsi="Garamond" w:cs="Times New Roman"/>
          <w:sz w:val="24"/>
          <w:szCs w:val="24"/>
          <w:lang w:val="de-DE"/>
        </w:rPr>
        <w:t xml:space="preserve"> vor uns liegenden Herausforderungen geben: </w:t>
      </w:r>
    </w:p>
    <w:p w:rsidR="008A4834" w:rsidRPr="00AA4C9B" w:rsidRDefault="008A4834" w:rsidP="008A4834">
      <w:pPr>
        <w:spacing w:after="0"/>
        <w:jc w:val="both"/>
        <w:rPr>
          <w:rFonts w:ascii="Garamond" w:hAnsi="Garamond" w:cs="Times New Roman"/>
          <w:sz w:val="24"/>
          <w:szCs w:val="24"/>
          <w:lang w:val="de-DE"/>
        </w:rPr>
      </w:pPr>
    </w:p>
    <w:p w:rsidR="008A4834" w:rsidRPr="004679B4" w:rsidRDefault="00AA4C9B" w:rsidP="008A4834">
      <w:pPr>
        <w:spacing w:after="0"/>
        <w:jc w:val="both"/>
        <w:rPr>
          <w:rFonts w:ascii="extravaganzza" w:hAnsi="extravaganzza" w:cs="Times New Roman"/>
          <w:sz w:val="24"/>
          <w:szCs w:val="24"/>
          <w:lang w:val="de-DE"/>
        </w:rPr>
      </w:pPr>
      <w:r w:rsidRPr="004679B4">
        <w:rPr>
          <w:rFonts w:ascii="extravaganzza" w:hAnsi="extravaganzza" w:cs="Times New Roman"/>
          <w:sz w:val="24"/>
          <w:szCs w:val="24"/>
          <w:lang w:val="de-DE"/>
        </w:rPr>
        <w:t xml:space="preserve">DIE AKTUELLE SITUATION </w:t>
      </w:r>
    </w:p>
    <w:p w:rsidR="008A4834" w:rsidRPr="004679B4" w:rsidRDefault="008A4834" w:rsidP="008A4834">
      <w:pPr>
        <w:spacing w:after="0"/>
        <w:jc w:val="both"/>
        <w:rPr>
          <w:rFonts w:ascii="Garamond" w:hAnsi="Garamond" w:cs="Times New Roman"/>
          <w:sz w:val="24"/>
          <w:szCs w:val="24"/>
          <w:lang w:val="de-DE"/>
        </w:rPr>
      </w:pPr>
    </w:p>
    <w:p w:rsidR="004763F1" w:rsidRDefault="00AA4C9B" w:rsidP="008A4834">
      <w:pPr>
        <w:spacing w:after="0"/>
        <w:jc w:val="both"/>
        <w:rPr>
          <w:rFonts w:ascii="Garamond" w:hAnsi="Garamond" w:cs="Times New Roman"/>
          <w:sz w:val="24"/>
          <w:szCs w:val="24"/>
          <w:lang w:val="de-DE"/>
        </w:rPr>
      </w:pPr>
      <w:r w:rsidRPr="00AA4C9B">
        <w:rPr>
          <w:rFonts w:ascii="Garamond" w:hAnsi="Garamond" w:cs="Times New Roman"/>
          <w:sz w:val="24"/>
          <w:szCs w:val="24"/>
          <w:lang w:val="de-DE"/>
        </w:rPr>
        <w:t xml:space="preserve">Die </w:t>
      </w:r>
      <w:r w:rsidRPr="004763F1">
        <w:rPr>
          <w:rFonts w:ascii="Garamond" w:hAnsi="Garamond" w:cs="Times New Roman"/>
          <w:b/>
          <w:sz w:val="24"/>
          <w:szCs w:val="24"/>
          <w:lang w:val="de-DE"/>
        </w:rPr>
        <w:t>Feuerwaffenrichtlinie,</w:t>
      </w:r>
      <w:r w:rsidRPr="00AA4C9B">
        <w:rPr>
          <w:rFonts w:ascii="Garamond" w:hAnsi="Garamond" w:cs="Times New Roman"/>
          <w:sz w:val="24"/>
          <w:szCs w:val="24"/>
          <w:lang w:val="de-DE"/>
        </w:rPr>
        <w:t xml:space="preserve"> welche in 1991 verabschiedet und in 2008 nach langen Debatten modifiziert worden war, ist das wichtigste Rechtsinstrume</w:t>
      </w:r>
      <w:r w:rsidR="004763F1">
        <w:rPr>
          <w:rFonts w:ascii="Garamond" w:hAnsi="Garamond" w:cs="Times New Roman"/>
          <w:sz w:val="24"/>
          <w:szCs w:val="24"/>
          <w:lang w:val="de-DE"/>
        </w:rPr>
        <w:t>nt der EU in Verbindung mit der rechtmäßigen Nutzung ziviler Feuerwaffen. Die Richtlinie legt eine Reihe Mindestregelungen zum Erwerb und Besitz von Feuerwaffen gemäß ihrer Klassifizierung in vier Kategorien</w:t>
      </w:r>
      <w:r w:rsidR="004679B4">
        <w:rPr>
          <w:rFonts w:ascii="Garamond" w:hAnsi="Garamond" w:cs="Times New Roman"/>
          <w:sz w:val="24"/>
          <w:szCs w:val="24"/>
          <w:lang w:val="de-DE"/>
        </w:rPr>
        <w:t xml:space="preserve"> fest</w:t>
      </w:r>
      <w:r w:rsidR="0074257A">
        <w:rPr>
          <w:rFonts w:ascii="Garamond" w:hAnsi="Garamond" w:cs="Times New Roman"/>
          <w:sz w:val="24"/>
          <w:szCs w:val="24"/>
          <w:lang w:val="de-DE"/>
        </w:rPr>
        <w:t xml:space="preserve"> (und ermöglicht damit den Mitgliedstaaten die Verabschiedung strengerer Regelungen)</w:t>
      </w:r>
      <w:r w:rsidR="004763F1">
        <w:rPr>
          <w:rFonts w:ascii="Garamond" w:hAnsi="Garamond" w:cs="Times New Roman"/>
          <w:sz w:val="24"/>
          <w:szCs w:val="24"/>
          <w:lang w:val="de-DE"/>
        </w:rPr>
        <w:t xml:space="preserve">. Sie hat ebenfalls den </w:t>
      </w:r>
      <w:r w:rsidR="004763F1" w:rsidRPr="004763F1">
        <w:rPr>
          <w:rFonts w:ascii="Garamond" w:hAnsi="Garamond" w:cs="Times New Roman"/>
          <w:b/>
          <w:sz w:val="24"/>
          <w:szCs w:val="24"/>
          <w:lang w:val="de-DE"/>
        </w:rPr>
        <w:t>Europäischen Feuerwaffenpass</w:t>
      </w:r>
      <w:r w:rsidR="004763F1">
        <w:rPr>
          <w:rFonts w:ascii="Garamond" w:hAnsi="Garamond" w:cs="Times New Roman"/>
          <w:sz w:val="24"/>
          <w:szCs w:val="24"/>
          <w:lang w:val="de-DE"/>
        </w:rPr>
        <w:t xml:space="preserve"> geschaffen, welcher </w:t>
      </w:r>
      <w:r w:rsidR="004679B4">
        <w:rPr>
          <w:rFonts w:ascii="Garamond" w:hAnsi="Garamond" w:cs="Times New Roman"/>
          <w:sz w:val="24"/>
          <w:szCs w:val="24"/>
          <w:lang w:val="de-DE"/>
        </w:rPr>
        <w:t xml:space="preserve">das </w:t>
      </w:r>
      <w:r w:rsidR="004763F1">
        <w:rPr>
          <w:rFonts w:ascii="Garamond" w:hAnsi="Garamond" w:cs="Times New Roman"/>
          <w:sz w:val="24"/>
          <w:szCs w:val="24"/>
          <w:lang w:val="de-DE"/>
        </w:rPr>
        <w:t xml:space="preserve">Reisen mit Feuerwaffen zu Zwecken der Jagd und des Sportschießens innerhalb der EU wesentlich erleichtert. </w:t>
      </w:r>
      <w:r w:rsidR="004679B4">
        <w:rPr>
          <w:rFonts w:ascii="Garamond" w:hAnsi="Garamond" w:cs="Times New Roman"/>
          <w:sz w:val="24"/>
          <w:szCs w:val="24"/>
          <w:lang w:val="de-DE"/>
        </w:rPr>
        <w:t xml:space="preserve">Mit dem Inhalt der Richtlinie ist </w:t>
      </w:r>
      <w:r w:rsidR="004763F1">
        <w:rPr>
          <w:rFonts w:ascii="Garamond" w:hAnsi="Garamond" w:cs="Times New Roman"/>
          <w:sz w:val="24"/>
          <w:szCs w:val="24"/>
          <w:lang w:val="de-DE"/>
        </w:rPr>
        <w:t xml:space="preserve">FACE im Großen und Ganzen zufrieden.  </w:t>
      </w:r>
    </w:p>
    <w:p w:rsidR="00AA4C9B" w:rsidRPr="00AA4C9B" w:rsidRDefault="00AA4C9B" w:rsidP="008A4834">
      <w:pPr>
        <w:spacing w:after="0"/>
        <w:jc w:val="both"/>
        <w:rPr>
          <w:rFonts w:ascii="Garamond" w:hAnsi="Garamond" w:cs="Times New Roman"/>
          <w:sz w:val="24"/>
          <w:szCs w:val="24"/>
          <w:lang w:val="de-DE"/>
        </w:rPr>
      </w:pPr>
    </w:p>
    <w:p w:rsidR="004763F1" w:rsidRPr="004763F1" w:rsidRDefault="004679B4" w:rsidP="008A4834">
      <w:pPr>
        <w:spacing w:after="0"/>
        <w:jc w:val="both"/>
        <w:rPr>
          <w:rFonts w:ascii="Garamond" w:hAnsi="Garamond" w:cs="Times New Roman"/>
          <w:sz w:val="24"/>
          <w:szCs w:val="24"/>
          <w:lang w:val="de-DE"/>
        </w:rPr>
      </w:pPr>
      <w:r>
        <w:rPr>
          <w:rFonts w:ascii="Garamond" w:hAnsi="Garamond" w:cs="Times New Roman"/>
          <w:sz w:val="24"/>
          <w:szCs w:val="24"/>
          <w:lang w:val="de-DE"/>
        </w:rPr>
        <w:t xml:space="preserve">Die weiteren wichtigen </w:t>
      </w:r>
      <w:r w:rsidR="004763F1" w:rsidRPr="004763F1">
        <w:rPr>
          <w:rFonts w:ascii="Garamond" w:hAnsi="Garamond" w:cs="Times New Roman"/>
          <w:sz w:val="24"/>
          <w:szCs w:val="24"/>
          <w:lang w:val="de-DE"/>
        </w:rPr>
        <w:t>Rechtsinstrumente der EU sind</w:t>
      </w:r>
    </w:p>
    <w:p w:rsidR="004763F1" w:rsidRDefault="004679B4" w:rsidP="004763F1">
      <w:pPr>
        <w:pStyle w:val="ListParagraph"/>
        <w:numPr>
          <w:ilvl w:val="0"/>
          <w:numId w:val="3"/>
        </w:numPr>
        <w:spacing w:after="0"/>
        <w:jc w:val="both"/>
        <w:rPr>
          <w:rFonts w:ascii="Garamond" w:hAnsi="Garamond" w:cs="Times New Roman"/>
          <w:sz w:val="24"/>
          <w:szCs w:val="24"/>
          <w:lang w:val="de-DE"/>
        </w:rPr>
      </w:pPr>
      <w:r>
        <w:rPr>
          <w:rFonts w:ascii="Garamond" w:hAnsi="Garamond" w:cs="Times New Roman"/>
          <w:sz w:val="24"/>
          <w:szCs w:val="24"/>
          <w:lang w:val="de-DE"/>
        </w:rPr>
        <w:t>d</w:t>
      </w:r>
      <w:r w:rsidR="004763F1">
        <w:rPr>
          <w:rFonts w:ascii="Garamond" w:hAnsi="Garamond" w:cs="Times New Roman"/>
          <w:sz w:val="24"/>
          <w:szCs w:val="24"/>
          <w:lang w:val="de-DE"/>
        </w:rPr>
        <w:t xml:space="preserve">ie </w:t>
      </w:r>
      <w:r w:rsidR="004763F1" w:rsidRPr="006E54BF">
        <w:rPr>
          <w:rFonts w:ascii="Garamond" w:hAnsi="Garamond" w:cs="Times New Roman"/>
          <w:b/>
          <w:sz w:val="24"/>
          <w:szCs w:val="24"/>
          <w:lang w:val="de-DE"/>
        </w:rPr>
        <w:t>Verordnung zur Umsetzung von Artikel 10 des UN-Protokolls gegen den unerlaubten Handel mit Feuerwaffen aus dem Jahre 2012,</w:t>
      </w:r>
      <w:r w:rsidR="004763F1">
        <w:rPr>
          <w:rFonts w:ascii="Garamond" w:hAnsi="Garamond" w:cs="Times New Roman"/>
          <w:sz w:val="24"/>
          <w:szCs w:val="24"/>
          <w:lang w:val="de-DE"/>
        </w:rPr>
        <w:t xml:space="preserve"> welche für Jäger und Sportschützen vor allem in Bezug auf die vorübergehende Ausfuhr von Feuerwaffen in Länder außerhalb der EU von Bedeutung ist; sowie</w:t>
      </w:r>
    </w:p>
    <w:p w:rsidR="004763F1" w:rsidRPr="004763F1" w:rsidRDefault="004679B4" w:rsidP="004763F1">
      <w:pPr>
        <w:pStyle w:val="ListParagraph"/>
        <w:numPr>
          <w:ilvl w:val="0"/>
          <w:numId w:val="3"/>
        </w:numPr>
        <w:spacing w:after="0"/>
        <w:jc w:val="both"/>
        <w:rPr>
          <w:rFonts w:ascii="Garamond" w:hAnsi="Garamond" w:cs="Times New Roman"/>
          <w:sz w:val="24"/>
          <w:szCs w:val="24"/>
          <w:lang w:val="de-DE"/>
        </w:rPr>
      </w:pPr>
      <w:r>
        <w:rPr>
          <w:rFonts w:ascii="Garamond" w:hAnsi="Garamond" w:cs="Times New Roman"/>
          <w:sz w:val="24"/>
          <w:szCs w:val="24"/>
          <w:lang w:val="de-DE"/>
        </w:rPr>
        <w:t>d</w:t>
      </w:r>
      <w:r w:rsidR="004763F1">
        <w:rPr>
          <w:rFonts w:ascii="Garamond" w:hAnsi="Garamond" w:cs="Times New Roman"/>
          <w:sz w:val="24"/>
          <w:szCs w:val="24"/>
          <w:lang w:val="de-DE"/>
        </w:rPr>
        <w:t xml:space="preserve">ie </w:t>
      </w:r>
      <w:r w:rsidR="004763F1" w:rsidRPr="006E54BF">
        <w:rPr>
          <w:rFonts w:ascii="Garamond" w:hAnsi="Garamond" w:cs="Times New Roman"/>
          <w:b/>
          <w:sz w:val="24"/>
          <w:szCs w:val="24"/>
          <w:lang w:val="de-DE"/>
        </w:rPr>
        <w:t xml:space="preserve">Verordnung der Kommission </w:t>
      </w:r>
      <w:r w:rsidR="006E54BF" w:rsidRPr="006E54BF">
        <w:rPr>
          <w:rFonts w:ascii="Garamond" w:hAnsi="Garamond" w:cs="Times New Roman"/>
          <w:b/>
          <w:sz w:val="24"/>
          <w:szCs w:val="24"/>
          <w:lang w:val="de-DE"/>
        </w:rPr>
        <w:t>zur Festlegung der Durchführungsbestimmungen für die Sicherheit in der Zivilluftfahrt aus dem Jahre 2010</w:t>
      </w:r>
      <w:r w:rsidR="006E54BF">
        <w:rPr>
          <w:rFonts w:ascii="Garamond" w:hAnsi="Garamond" w:cs="Times New Roman"/>
          <w:sz w:val="24"/>
          <w:szCs w:val="24"/>
          <w:lang w:val="de-DE"/>
        </w:rPr>
        <w:t xml:space="preserve">, welche die Verbringung von Feuerwaffen und ihrer Munition im Frachtgepäck von Flugzeugen erlaubt.  </w:t>
      </w:r>
    </w:p>
    <w:p w:rsidR="004763F1" w:rsidRPr="004763F1" w:rsidRDefault="004763F1" w:rsidP="008A4834">
      <w:pPr>
        <w:spacing w:after="0"/>
        <w:jc w:val="both"/>
        <w:rPr>
          <w:rFonts w:ascii="Garamond" w:hAnsi="Garamond" w:cs="Times New Roman"/>
          <w:sz w:val="24"/>
          <w:szCs w:val="24"/>
          <w:lang w:val="de-DE"/>
        </w:rPr>
      </w:pPr>
    </w:p>
    <w:p w:rsidR="008A4834" w:rsidRPr="00075EEC" w:rsidRDefault="006E54BF" w:rsidP="0074257A">
      <w:pPr>
        <w:rPr>
          <w:rFonts w:ascii="extravaganzza" w:hAnsi="extravaganzza" w:cs="Times New Roman"/>
          <w:sz w:val="24"/>
          <w:szCs w:val="24"/>
          <w:lang w:val="de-DE"/>
        </w:rPr>
      </w:pPr>
      <w:r w:rsidRPr="00075EEC">
        <w:rPr>
          <w:rFonts w:ascii="extravaganzza" w:hAnsi="extravaganzza" w:cs="Times New Roman"/>
          <w:sz w:val="24"/>
          <w:szCs w:val="24"/>
          <w:lang w:val="de-DE"/>
        </w:rPr>
        <w:t>DIE WICHTIGSTEN AKTEURE</w:t>
      </w:r>
    </w:p>
    <w:p w:rsidR="003E4BCD" w:rsidRDefault="006E54BF" w:rsidP="008A4834">
      <w:pPr>
        <w:spacing w:after="0"/>
        <w:jc w:val="both"/>
        <w:rPr>
          <w:rFonts w:ascii="Garamond" w:hAnsi="Garamond" w:cs="Times New Roman"/>
          <w:sz w:val="24"/>
          <w:szCs w:val="24"/>
          <w:lang w:val="de-DE"/>
        </w:rPr>
      </w:pPr>
      <w:r w:rsidRPr="006E54BF">
        <w:rPr>
          <w:rFonts w:ascii="Garamond" w:hAnsi="Garamond" w:cs="Times New Roman"/>
          <w:sz w:val="24"/>
          <w:szCs w:val="24"/>
          <w:lang w:val="de-DE"/>
        </w:rPr>
        <w:t>Innerhalb der Europäischen Kommission ist die Generaldirektion Unternehmen und Industrie</w:t>
      </w:r>
      <w:r>
        <w:rPr>
          <w:rFonts w:ascii="Garamond" w:hAnsi="Garamond" w:cs="Times New Roman"/>
          <w:sz w:val="24"/>
          <w:szCs w:val="24"/>
          <w:lang w:val="de-DE"/>
        </w:rPr>
        <w:t xml:space="preserve"> (GD ENTR)</w:t>
      </w:r>
      <w:r w:rsidR="0074257A">
        <w:rPr>
          <w:rFonts w:ascii="Garamond" w:hAnsi="Garamond" w:cs="Times New Roman"/>
          <w:sz w:val="24"/>
          <w:szCs w:val="24"/>
          <w:lang w:val="de-DE"/>
        </w:rPr>
        <w:t xml:space="preserve"> </w:t>
      </w:r>
      <w:r>
        <w:rPr>
          <w:rFonts w:ascii="Garamond" w:hAnsi="Garamond" w:cs="Times New Roman"/>
          <w:sz w:val="24"/>
          <w:szCs w:val="24"/>
          <w:lang w:val="de-DE"/>
        </w:rPr>
        <w:t>mit Kommissar Tajani für den legalen Handel und den Erwerb und Besitz ziviler Feuerwaffen innerhalb des EU-Binnenmarkts zuständig. Damit fällt</w:t>
      </w:r>
      <w:r w:rsidR="004679B4">
        <w:rPr>
          <w:rFonts w:ascii="Garamond" w:hAnsi="Garamond" w:cs="Times New Roman"/>
          <w:sz w:val="24"/>
          <w:szCs w:val="24"/>
          <w:lang w:val="de-DE"/>
        </w:rPr>
        <w:t xml:space="preserve"> auch</w:t>
      </w:r>
      <w:r>
        <w:rPr>
          <w:rFonts w:ascii="Garamond" w:hAnsi="Garamond" w:cs="Times New Roman"/>
          <w:sz w:val="24"/>
          <w:szCs w:val="24"/>
          <w:lang w:val="de-DE"/>
        </w:rPr>
        <w:t xml:space="preserve"> die Feuerwaffenrichtlinie in ihren Zuständigkeitsbereich. </w:t>
      </w:r>
      <w:r w:rsidR="003E4BCD">
        <w:rPr>
          <w:rFonts w:ascii="Garamond" w:hAnsi="Garamond" w:cs="Times New Roman"/>
          <w:sz w:val="24"/>
          <w:szCs w:val="24"/>
          <w:lang w:val="de-DE"/>
        </w:rPr>
        <w:t xml:space="preserve">Im Juli 2012 hatte die Kommission einen von der GD ENTR ausgearbeiteten Bericht zur Klassifizierung von Feuerwaffen verabschiedet, der zu dem Schluss gekommen war, dass kein Bedarf an einer Änderung der derzeitigen Klassifizierung von Feuerwaffen in der Richtlinie besteht. </w:t>
      </w:r>
    </w:p>
    <w:p w:rsidR="006E54BF" w:rsidRPr="006E54BF" w:rsidRDefault="006E54BF" w:rsidP="008A4834">
      <w:pPr>
        <w:spacing w:after="0"/>
        <w:jc w:val="both"/>
        <w:rPr>
          <w:rFonts w:ascii="Garamond" w:hAnsi="Garamond" w:cs="Times New Roman"/>
          <w:sz w:val="24"/>
          <w:szCs w:val="24"/>
          <w:lang w:val="de-DE"/>
        </w:rPr>
      </w:pPr>
    </w:p>
    <w:p w:rsidR="00932F64" w:rsidRDefault="00932F64" w:rsidP="007537EF">
      <w:pPr>
        <w:spacing w:after="0"/>
        <w:jc w:val="both"/>
        <w:rPr>
          <w:rFonts w:ascii="Garamond" w:hAnsi="Garamond" w:cs="Times New Roman"/>
          <w:sz w:val="24"/>
          <w:szCs w:val="24"/>
          <w:lang w:val="de-DE"/>
        </w:rPr>
      </w:pPr>
      <w:r w:rsidRPr="00932F64">
        <w:rPr>
          <w:rFonts w:ascii="Garamond" w:hAnsi="Garamond" w:cs="Times New Roman"/>
          <w:sz w:val="24"/>
          <w:szCs w:val="24"/>
          <w:lang w:val="de-DE"/>
        </w:rPr>
        <w:t>Die Generaldirektion für Inneres (GD HOME) der Europäischen Kommission</w:t>
      </w:r>
      <w:r>
        <w:rPr>
          <w:rFonts w:ascii="Garamond" w:hAnsi="Garamond" w:cs="Times New Roman"/>
          <w:sz w:val="24"/>
          <w:szCs w:val="24"/>
          <w:lang w:val="de-DE"/>
        </w:rPr>
        <w:t xml:space="preserve"> mit  Kommissarin Malström </w:t>
      </w:r>
      <w:r w:rsidR="00702FFD">
        <w:rPr>
          <w:rFonts w:ascii="Garamond" w:hAnsi="Garamond" w:cs="Times New Roman"/>
          <w:sz w:val="24"/>
          <w:szCs w:val="24"/>
          <w:lang w:val="de-DE"/>
        </w:rPr>
        <w:t>wiederum ist für</w:t>
      </w:r>
      <w:r w:rsidRPr="00932F64">
        <w:rPr>
          <w:rFonts w:ascii="Garamond" w:hAnsi="Garamond" w:cs="Times New Roman"/>
          <w:sz w:val="24"/>
          <w:szCs w:val="24"/>
          <w:lang w:val="de-DE"/>
        </w:rPr>
        <w:t xml:space="preserve"> </w:t>
      </w:r>
      <w:r w:rsidR="00702FFD">
        <w:rPr>
          <w:rFonts w:ascii="Garamond" w:hAnsi="Garamond" w:cs="Times New Roman"/>
          <w:sz w:val="24"/>
          <w:szCs w:val="24"/>
          <w:lang w:val="de-DE"/>
        </w:rPr>
        <w:t xml:space="preserve">kriminelle und </w:t>
      </w:r>
      <w:r w:rsidR="00075EEC">
        <w:rPr>
          <w:rFonts w:ascii="Garamond" w:hAnsi="Garamond" w:cs="Times New Roman"/>
          <w:sz w:val="24"/>
          <w:szCs w:val="24"/>
          <w:lang w:val="de-DE"/>
        </w:rPr>
        <w:t>illegale</w:t>
      </w:r>
      <w:r w:rsidR="00702FFD">
        <w:rPr>
          <w:rFonts w:ascii="Garamond" w:hAnsi="Garamond" w:cs="Times New Roman"/>
          <w:sz w:val="24"/>
          <w:szCs w:val="24"/>
          <w:lang w:val="de-DE"/>
        </w:rPr>
        <w:t xml:space="preserve"> Handlungen zuständig und befassen sich </w:t>
      </w:r>
      <w:r w:rsidR="00755A7D">
        <w:rPr>
          <w:rFonts w:ascii="Garamond" w:hAnsi="Garamond" w:cs="Times New Roman"/>
          <w:sz w:val="24"/>
          <w:szCs w:val="24"/>
          <w:lang w:val="de-DE"/>
        </w:rPr>
        <w:t xml:space="preserve">momentan </w:t>
      </w:r>
      <w:r w:rsidR="00702FFD">
        <w:rPr>
          <w:rFonts w:ascii="Garamond" w:hAnsi="Garamond" w:cs="Times New Roman"/>
          <w:sz w:val="24"/>
          <w:szCs w:val="24"/>
          <w:lang w:val="de-DE"/>
        </w:rPr>
        <w:t xml:space="preserve">mit den Aspekten des unerlaubten Handels mit Feuerwaffen. </w:t>
      </w:r>
      <w:r w:rsidR="00755A7D">
        <w:rPr>
          <w:rFonts w:ascii="Garamond" w:hAnsi="Garamond" w:cs="Times New Roman"/>
          <w:sz w:val="24"/>
          <w:szCs w:val="24"/>
          <w:lang w:val="de-DE"/>
        </w:rPr>
        <w:t xml:space="preserve">  </w:t>
      </w:r>
    </w:p>
    <w:p w:rsidR="00932F64" w:rsidRPr="00932F64" w:rsidRDefault="00932F64" w:rsidP="008A4834">
      <w:pPr>
        <w:spacing w:after="0"/>
        <w:jc w:val="both"/>
        <w:rPr>
          <w:rFonts w:ascii="Garamond" w:hAnsi="Garamond" w:cs="Times New Roman"/>
          <w:sz w:val="24"/>
          <w:szCs w:val="24"/>
          <w:lang w:val="de-DE"/>
        </w:rPr>
      </w:pPr>
    </w:p>
    <w:p w:rsidR="007537EF" w:rsidRDefault="007537EF" w:rsidP="008A4834">
      <w:pPr>
        <w:spacing w:after="0"/>
        <w:jc w:val="both"/>
        <w:rPr>
          <w:rFonts w:ascii="Garamond" w:hAnsi="Garamond" w:cs="Times New Roman"/>
          <w:sz w:val="24"/>
          <w:szCs w:val="24"/>
          <w:lang w:val="de-DE"/>
        </w:rPr>
      </w:pPr>
      <w:r w:rsidRPr="007537EF">
        <w:rPr>
          <w:rFonts w:ascii="Garamond" w:hAnsi="Garamond" w:cs="Times New Roman"/>
          <w:sz w:val="24"/>
          <w:szCs w:val="24"/>
          <w:lang w:val="de-DE"/>
        </w:rPr>
        <w:lastRenderedPageBreak/>
        <w:t>Zwar haben das Europäische Parlament und der EU-Rat</w:t>
      </w:r>
      <w:r>
        <w:rPr>
          <w:rFonts w:ascii="Garamond" w:hAnsi="Garamond" w:cs="Times New Roman"/>
          <w:sz w:val="24"/>
          <w:szCs w:val="24"/>
          <w:lang w:val="de-DE"/>
        </w:rPr>
        <w:t xml:space="preserve"> einen gewissen Einfluss auf die Kommission, allerdings bleibt ihre Rolle eingeschränkt bis zu dem Zeitpunkt, an dem die Kommission einen formellen Gesetzgebungsvorschlag vorlegt. Erst dann beginnt die eigentliche institutionenübergreifende Debatte. Die formelle Verabschiedung eines Gesetzgebungsvorschlags erfordert das Einverständnis des Parlaments und des Rats. </w:t>
      </w:r>
    </w:p>
    <w:p w:rsidR="0074257A" w:rsidRDefault="0074257A" w:rsidP="008A4834">
      <w:pPr>
        <w:spacing w:after="0"/>
        <w:jc w:val="both"/>
        <w:rPr>
          <w:rFonts w:ascii="extravaganzza" w:hAnsi="extravaganzza" w:cs="Times New Roman"/>
          <w:sz w:val="24"/>
          <w:szCs w:val="24"/>
          <w:lang w:val="de-DE"/>
        </w:rPr>
      </w:pPr>
    </w:p>
    <w:p w:rsidR="008A4834" w:rsidRPr="00075EEC" w:rsidRDefault="00A31218" w:rsidP="008A4834">
      <w:pPr>
        <w:spacing w:after="0"/>
        <w:jc w:val="both"/>
        <w:rPr>
          <w:rFonts w:ascii="extravaganzza" w:hAnsi="extravaganzza" w:cs="Times New Roman"/>
          <w:sz w:val="24"/>
          <w:szCs w:val="24"/>
          <w:lang w:val="de-DE"/>
        </w:rPr>
      </w:pPr>
      <w:r w:rsidRPr="00075EEC">
        <w:rPr>
          <w:rFonts w:ascii="extravaganzza" w:hAnsi="extravaganzza" w:cs="Times New Roman"/>
          <w:sz w:val="24"/>
          <w:szCs w:val="24"/>
          <w:lang w:val="de-DE"/>
        </w:rPr>
        <w:t>DIE INITIATIVEN</w:t>
      </w:r>
    </w:p>
    <w:p w:rsidR="008A4834" w:rsidRPr="00075EEC" w:rsidRDefault="008A4834" w:rsidP="008A4834">
      <w:pPr>
        <w:spacing w:after="0"/>
        <w:jc w:val="both"/>
        <w:rPr>
          <w:rFonts w:ascii="Garamond" w:hAnsi="Garamond" w:cs="Times New Roman"/>
          <w:sz w:val="24"/>
          <w:szCs w:val="24"/>
          <w:lang w:val="de-DE"/>
        </w:rPr>
      </w:pPr>
    </w:p>
    <w:p w:rsidR="00A31218" w:rsidRDefault="00A31218" w:rsidP="008A4834">
      <w:pPr>
        <w:spacing w:after="0"/>
        <w:jc w:val="both"/>
        <w:rPr>
          <w:rFonts w:ascii="Garamond" w:hAnsi="Garamond" w:cs="Times New Roman"/>
          <w:sz w:val="24"/>
          <w:szCs w:val="24"/>
          <w:lang w:val="de-DE"/>
        </w:rPr>
      </w:pPr>
      <w:r w:rsidRPr="00A31218">
        <w:rPr>
          <w:rFonts w:ascii="Garamond" w:hAnsi="Garamond" w:cs="Times New Roman"/>
          <w:sz w:val="24"/>
          <w:szCs w:val="24"/>
          <w:lang w:val="de-DE"/>
        </w:rPr>
        <w:t xml:space="preserve">Im November 2012 hatte </w:t>
      </w:r>
      <w:r w:rsidRPr="00075EEC">
        <w:rPr>
          <w:rFonts w:ascii="Garamond" w:hAnsi="Garamond" w:cs="Times New Roman"/>
          <w:b/>
          <w:sz w:val="24"/>
          <w:szCs w:val="24"/>
          <w:lang w:val="de-DE"/>
        </w:rPr>
        <w:t>Kommissarin Malmström</w:t>
      </w:r>
      <w:r w:rsidRPr="00A31218">
        <w:rPr>
          <w:rFonts w:ascii="Garamond" w:hAnsi="Garamond" w:cs="Times New Roman"/>
          <w:sz w:val="24"/>
          <w:szCs w:val="24"/>
          <w:lang w:val="de-DE"/>
        </w:rPr>
        <w:t xml:space="preserve"> in einer </w:t>
      </w:r>
      <w:r w:rsidRPr="00075EEC">
        <w:rPr>
          <w:rFonts w:ascii="Garamond" w:hAnsi="Garamond" w:cs="Times New Roman"/>
          <w:b/>
          <w:sz w:val="24"/>
          <w:szCs w:val="24"/>
          <w:lang w:val="de-DE"/>
        </w:rPr>
        <w:t>Rede</w:t>
      </w:r>
      <w:r>
        <w:rPr>
          <w:rFonts w:ascii="Garamond" w:hAnsi="Garamond" w:cs="Times New Roman"/>
          <w:sz w:val="24"/>
          <w:szCs w:val="24"/>
          <w:lang w:val="de-DE"/>
        </w:rPr>
        <w:t xml:space="preserve"> während einer Klausurtagung zum unerlaubten Handel mit Feuerwaffen angedeutet, ohne</w:t>
      </w:r>
      <w:r w:rsidR="0074257A">
        <w:rPr>
          <w:rFonts w:ascii="Garamond" w:hAnsi="Garamond" w:cs="Times New Roman"/>
          <w:sz w:val="24"/>
          <w:szCs w:val="24"/>
          <w:lang w:val="de-DE"/>
        </w:rPr>
        <w:t xml:space="preserve"> dafür</w:t>
      </w:r>
      <w:r w:rsidR="00075EEC">
        <w:rPr>
          <w:rFonts w:ascii="Garamond" w:hAnsi="Garamond" w:cs="Times New Roman"/>
          <w:sz w:val="24"/>
          <w:szCs w:val="24"/>
          <w:lang w:val="de-DE"/>
        </w:rPr>
        <w:t xml:space="preserve"> entsprechende Beweise </w:t>
      </w:r>
      <w:r w:rsidR="0074257A">
        <w:rPr>
          <w:rFonts w:ascii="Garamond" w:hAnsi="Garamond" w:cs="Times New Roman"/>
          <w:sz w:val="24"/>
          <w:szCs w:val="24"/>
          <w:lang w:val="de-DE"/>
        </w:rPr>
        <w:t>vorzulegen</w:t>
      </w:r>
      <w:r>
        <w:rPr>
          <w:rFonts w:ascii="Garamond" w:hAnsi="Garamond" w:cs="Times New Roman"/>
          <w:sz w:val="24"/>
          <w:szCs w:val="24"/>
          <w:lang w:val="de-DE"/>
        </w:rPr>
        <w:t>, dass ein</w:t>
      </w:r>
      <w:r w:rsidR="00075EEC">
        <w:rPr>
          <w:rFonts w:ascii="Garamond" w:hAnsi="Garamond" w:cs="Times New Roman"/>
          <w:sz w:val="24"/>
          <w:szCs w:val="24"/>
          <w:lang w:val="de-DE"/>
        </w:rPr>
        <w:t xml:space="preserve">e Verbindung zwischen </w:t>
      </w:r>
      <w:r>
        <w:rPr>
          <w:rFonts w:ascii="Garamond" w:hAnsi="Garamond" w:cs="Times New Roman"/>
          <w:sz w:val="24"/>
          <w:szCs w:val="24"/>
          <w:lang w:val="de-DE"/>
        </w:rPr>
        <w:t xml:space="preserve">Feuerwaffen </w:t>
      </w:r>
      <w:r w:rsidR="00075EEC">
        <w:rPr>
          <w:rFonts w:ascii="Garamond" w:hAnsi="Garamond" w:cs="Times New Roman"/>
          <w:sz w:val="24"/>
          <w:szCs w:val="24"/>
          <w:lang w:val="de-DE"/>
        </w:rPr>
        <w:t xml:space="preserve">in rechtmäßigem Eigentum </w:t>
      </w:r>
      <w:r>
        <w:rPr>
          <w:rFonts w:ascii="Garamond" w:hAnsi="Garamond" w:cs="Times New Roman"/>
          <w:sz w:val="24"/>
          <w:szCs w:val="24"/>
          <w:lang w:val="de-DE"/>
        </w:rPr>
        <w:t>und dem unerlaubten Handel mit Feuerwaffen bestünde. Kommissarin Malmström schlug ein Verbot bestimmte</w:t>
      </w:r>
      <w:r w:rsidR="00075EEC">
        <w:rPr>
          <w:rFonts w:ascii="Garamond" w:hAnsi="Garamond" w:cs="Times New Roman"/>
          <w:sz w:val="24"/>
          <w:szCs w:val="24"/>
          <w:lang w:val="de-DE"/>
        </w:rPr>
        <w:t>r</w:t>
      </w:r>
      <w:r>
        <w:rPr>
          <w:rFonts w:ascii="Garamond" w:hAnsi="Garamond" w:cs="Times New Roman"/>
          <w:sz w:val="24"/>
          <w:szCs w:val="24"/>
          <w:lang w:val="de-DE"/>
        </w:rPr>
        <w:t xml:space="preserve"> – nicht näher spezifizierter – Feuerwaffen vor, die nach der geltenden Richtlinie </w:t>
      </w:r>
      <w:r w:rsidR="00075EEC">
        <w:rPr>
          <w:rFonts w:ascii="Garamond" w:hAnsi="Garamond" w:cs="Times New Roman"/>
          <w:sz w:val="24"/>
          <w:szCs w:val="24"/>
          <w:lang w:val="de-DE"/>
        </w:rPr>
        <w:t>derzeit</w:t>
      </w:r>
      <w:r>
        <w:rPr>
          <w:rFonts w:ascii="Garamond" w:hAnsi="Garamond" w:cs="Times New Roman"/>
          <w:sz w:val="24"/>
          <w:szCs w:val="24"/>
          <w:lang w:val="de-DE"/>
        </w:rPr>
        <w:t xml:space="preserve"> genehmigungspflichtig sin</w:t>
      </w:r>
      <w:r w:rsidR="00075EEC">
        <w:rPr>
          <w:rFonts w:ascii="Garamond" w:hAnsi="Garamond" w:cs="Times New Roman"/>
          <w:sz w:val="24"/>
          <w:szCs w:val="24"/>
          <w:lang w:val="de-DE"/>
        </w:rPr>
        <w:t>d</w:t>
      </w:r>
      <w:r>
        <w:rPr>
          <w:rFonts w:ascii="Garamond" w:hAnsi="Garamond" w:cs="Times New Roman"/>
          <w:sz w:val="24"/>
          <w:szCs w:val="24"/>
          <w:lang w:val="de-DE"/>
        </w:rPr>
        <w:t>.</w:t>
      </w:r>
    </w:p>
    <w:p w:rsidR="008A4834" w:rsidRPr="00A31218" w:rsidRDefault="008A4834" w:rsidP="008A4834">
      <w:pPr>
        <w:spacing w:after="0"/>
        <w:jc w:val="both"/>
        <w:rPr>
          <w:rFonts w:ascii="Garamond" w:hAnsi="Garamond" w:cs="Times New Roman"/>
          <w:sz w:val="24"/>
          <w:szCs w:val="24"/>
          <w:lang w:val="de-DE"/>
        </w:rPr>
      </w:pPr>
    </w:p>
    <w:p w:rsidR="00A31218" w:rsidRPr="00A31218" w:rsidRDefault="00075EEC" w:rsidP="008A4834">
      <w:pPr>
        <w:spacing w:after="0"/>
        <w:jc w:val="both"/>
        <w:rPr>
          <w:rFonts w:ascii="Garamond" w:hAnsi="Garamond" w:cs="Times New Roman"/>
          <w:sz w:val="24"/>
          <w:szCs w:val="24"/>
          <w:lang w:val="de-DE"/>
        </w:rPr>
      </w:pPr>
      <w:r>
        <w:rPr>
          <w:rFonts w:ascii="Garamond" w:hAnsi="Garamond" w:cs="Times New Roman"/>
          <w:sz w:val="24"/>
          <w:szCs w:val="24"/>
          <w:lang w:val="de-DE"/>
        </w:rPr>
        <w:t>Hier einige weitere</w:t>
      </w:r>
      <w:r w:rsidR="00A31218" w:rsidRPr="00A31218">
        <w:rPr>
          <w:rFonts w:ascii="Garamond" w:hAnsi="Garamond" w:cs="Times New Roman"/>
          <w:sz w:val="24"/>
          <w:szCs w:val="24"/>
          <w:lang w:val="de-DE"/>
        </w:rPr>
        <w:t xml:space="preserve"> Initiativen zwischen Ende März und An</w:t>
      </w:r>
      <w:r w:rsidR="00A31218">
        <w:rPr>
          <w:rFonts w:ascii="Garamond" w:hAnsi="Garamond" w:cs="Times New Roman"/>
          <w:sz w:val="24"/>
          <w:szCs w:val="24"/>
          <w:lang w:val="de-DE"/>
        </w:rPr>
        <w:t xml:space="preserve">fang April </w:t>
      </w:r>
      <w:r w:rsidR="00755A7D">
        <w:rPr>
          <w:rFonts w:ascii="Garamond" w:hAnsi="Garamond" w:cs="Times New Roman"/>
          <w:sz w:val="24"/>
          <w:szCs w:val="24"/>
          <w:lang w:val="de-DE"/>
        </w:rPr>
        <w:t>2013</w:t>
      </w:r>
      <w:r w:rsidR="00A31218">
        <w:rPr>
          <w:rFonts w:ascii="Garamond" w:hAnsi="Garamond" w:cs="Times New Roman"/>
          <w:sz w:val="24"/>
          <w:szCs w:val="24"/>
          <w:lang w:val="de-DE"/>
        </w:rPr>
        <w:t>:</w:t>
      </w:r>
    </w:p>
    <w:p w:rsidR="008A4834" w:rsidRPr="00A31218" w:rsidRDefault="008A4834" w:rsidP="008A4834">
      <w:pPr>
        <w:spacing w:after="0"/>
        <w:jc w:val="both"/>
        <w:rPr>
          <w:rFonts w:ascii="Garamond" w:hAnsi="Garamond" w:cs="Times New Roman"/>
          <w:sz w:val="24"/>
          <w:szCs w:val="24"/>
          <w:lang w:val="de-DE"/>
        </w:rPr>
      </w:pPr>
    </w:p>
    <w:p w:rsidR="00A31218" w:rsidRPr="009764ED" w:rsidRDefault="00A31218" w:rsidP="008A4834">
      <w:pPr>
        <w:spacing w:after="0"/>
        <w:jc w:val="both"/>
        <w:rPr>
          <w:rFonts w:ascii="Garamond" w:hAnsi="Garamond" w:cs="Times New Roman"/>
          <w:i/>
          <w:sz w:val="24"/>
          <w:szCs w:val="24"/>
          <w:lang w:val="de-DE"/>
        </w:rPr>
      </w:pPr>
      <w:r w:rsidRPr="00A31218">
        <w:rPr>
          <w:rFonts w:ascii="Garamond" w:hAnsi="Garamond" w:cs="Times New Roman"/>
          <w:sz w:val="24"/>
          <w:szCs w:val="24"/>
          <w:lang w:val="de-DE"/>
        </w:rPr>
        <w:t>Auf Initiative</w:t>
      </w:r>
      <w:r w:rsidR="0074257A">
        <w:rPr>
          <w:rFonts w:ascii="Garamond" w:hAnsi="Garamond" w:cs="Times New Roman"/>
          <w:sz w:val="24"/>
          <w:szCs w:val="24"/>
          <w:lang w:val="de-DE"/>
        </w:rPr>
        <w:t xml:space="preserve"> der GD HOME hat die Kommission</w:t>
      </w:r>
      <w:r w:rsidRPr="00A31218">
        <w:rPr>
          <w:rFonts w:ascii="Garamond" w:hAnsi="Garamond" w:cs="Times New Roman"/>
          <w:sz w:val="24"/>
          <w:szCs w:val="24"/>
          <w:lang w:val="de-DE"/>
        </w:rPr>
        <w:t xml:space="preserve"> einen </w:t>
      </w:r>
      <w:r w:rsidRPr="00A31218">
        <w:rPr>
          <w:rFonts w:ascii="Garamond" w:hAnsi="Garamond" w:cs="Times New Roman"/>
          <w:b/>
          <w:sz w:val="24"/>
          <w:szCs w:val="24"/>
          <w:lang w:val="de-DE"/>
        </w:rPr>
        <w:t>Vorschlag für die Ratifizierung des UN-Feuerwaffenprotokolls durch die EU</w:t>
      </w:r>
      <w:r w:rsidRPr="00A31218">
        <w:rPr>
          <w:rFonts w:ascii="Garamond" w:hAnsi="Garamond" w:cs="Times New Roman"/>
          <w:sz w:val="24"/>
          <w:szCs w:val="24"/>
          <w:lang w:val="de-DE"/>
        </w:rPr>
        <w:t xml:space="preserve"> vorgelegt. </w:t>
      </w:r>
      <w:r>
        <w:rPr>
          <w:rFonts w:ascii="Garamond" w:hAnsi="Garamond" w:cs="Times New Roman"/>
          <w:sz w:val="24"/>
          <w:szCs w:val="24"/>
          <w:lang w:val="de-DE"/>
        </w:rPr>
        <w:t xml:space="preserve">Die Ratifizierung ist nur eine Formalität, da die EU die Bestimmungen des Protokolls durch die Änderung der Feuerwaffenrichtlinie in 2008 und die Verabschiedung der oben erwähnten Verordnung in 2012 bereits umgesetzt hat. </w:t>
      </w:r>
      <w:r w:rsidR="009764ED">
        <w:rPr>
          <w:rFonts w:ascii="Garamond" w:hAnsi="Garamond" w:cs="Times New Roman"/>
          <w:sz w:val="24"/>
          <w:szCs w:val="24"/>
          <w:lang w:val="de-DE"/>
        </w:rPr>
        <w:t>A</w:t>
      </w:r>
      <w:r w:rsidR="00755A7D">
        <w:rPr>
          <w:rFonts w:ascii="Garamond" w:hAnsi="Garamond" w:cs="Times New Roman"/>
          <w:sz w:val="24"/>
          <w:szCs w:val="24"/>
          <w:lang w:val="de-DE"/>
        </w:rPr>
        <w:t>uf Basis dieser Ratifizierung beabsichtigt</w:t>
      </w:r>
      <w:r w:rsidR="009764ED">
        <w:rPr>
          <w:rFonts w:ascii="Garamond" w:hAnsi="Garamond" w:cs="Times New Roman"/>
          <w:sz w:val="24"/>
          <w:szCs w:val="24"/>
          <w:lang w:val="de-DE"/>
        </w:rPr>
        <w:t xml:space="preserve"> die GD HOME, bis Ende 2013 eine Mitteilung zu „</w:t>
      </w:r>
      <w:r w:rsidR="009764ED" w:rsidRPr="009764ED">
        <w:rPr>
          <w:rFonts w:ascii="Garamond" w:hAnsi="Garamond" w:cs="Times New Roman"/>
          <w:i/>
          <w:sz w:val="24"/>
          <w:szCs w:val="24"/>
          <w:lang w:val="de-DE"/>
        </w:rPr>
        <w:t>der Be</w:t>
      </w:r>
      <w:r w:rsidR="00DA0B04">
        <w:rPr>
          <w:rFonts w:ascii="Garamond" w:hAnsi="Garamond" w:cs="Times New Roman"/>
          <w:i/>
          <w:sz w:val="24"/>
          <w:szCs w:val="24"/>
          <w:lang w:val="de-DE"/>
        </w:rPr>
        <w:t>s</w:t>
      </w:r>
      <w:r w:rsidR="009764ED" w:rsidRPr="009764ED">
        <w:rPr>
          <w:rFonts w:ascii="Garamond" w:hAnsi="Garamond" w:cs="Times New Roman"/>
          <w:i/>
          <w:sz w:val="24"/>
          <w:szCs w:val="24"/>
          <w:lang w:val="de-DE"/>
        </w:rPr>
        <w:t>chränkung der Bedrohung der inneren Sicherheit in der EU durch Feuerwaffen“</w:t>
      </w:r>
      <w:r w:rsidR="00DA0B04">
        <w:rPr>
          <w:rFonts w:ascii="Garamond" w:hAnsi="Garamond" w:cs="Times New Roman"/>
          <w:i/>
          <w:sz w:val="24"/>
          <w:szCs w:val="24"/>
          <w:lang w:val="de-DE"/>
        </w:rPr>
        <w:t xml:space="preserve"> </w:t>
      </w:r>
      <w:r w:rsidR="00DA0B04">
        <w:rPr>
          <w:rFonts w:ascii="Garamond" w:hAnsi="Garamond" w:cs="Times New Roman"/>
          <w:sz w:val="24"/>
          <w:szCs w:val="24"/>
          <w:lang w:val="de-DE"/>
        </w:rPr>
        <w:t xml:space="preserve">vorzulegen. </w:t>
      </w:r>
      <w:r w:rsidR="009764ED" w:rsidRPr="009764ED">
        <w:rPr>
          <w:rFonts w:ascii="Garamond" w:hAnsi="Garamond" w:cs="Times New Roman"/>
          <w:i/>
          <w:sz w:val="24"/>
          <w:szCs w:val="24"/>
          <w:lang w:val="de-DE"/>
        </w:rPr>
        <w:t xml:space="preserve"> </w:t>
      </w:r>
    </w:p>
    <w:p w:rsidR="00DA0B04" w:rsidRPr="00755A7D" w:rsidRDefault="00DA0B04" w:rsidP="008A4834">
      <w:pPr>
        <w:spacing w:after="0"/>
        <w:jc w:val="both"/>
        <w:rPr>
          <w:rFonts w:ascii="Garamond" w:hAnsi="Garamond" w:cs="Times New Roman"/>
          <w:sz w:val="24"/>
          <w:szCs w:val="24"/>
          <w:lang w:val="de-AT"/>
        </w:rPr>
      </w:pPr>
    </w:p>
    <w:p w:rsidR="00C063D7" w:rsidRDefault="00257369" w:rsidP="008A4834">
      <w:pPr>
        <w:spacing w:after="0"/>
        <w:jc w:val="both"/>
        <w:rPr>
          <w:rFonts w:ascii="Garamond" w:hAnsi="Garamond" w:cs="Times New Roman"/>
          <w:sz w:val="24"/>
          <w:szCs w:val="24"/>
          <w:lang w:val="de-DE"/>
        </w:rPr>
      </w:pPr>
      <w:r w:rsidRPr="00257369">
        <w:rPr>
          <w:rFonts w:ascii="Garamond" w:hAnsi="Garamond" w:cs="Times New Roman"/>
          <w:sz w:val="24"/>
          <w:szCs w:val="24"/>
          <w:lang w:val="de-DE"/>
        </w:rPr>
        <w:t xml:space="preserve">Die </w:t>
      </w:r>
      <w:r w:rsidRPr="00DA0B04">
        <w:rPr>
          <w:rFonts w:ascii="Garamond" w:hAnsi="Garamond" w:cs="Times New Roman"/>
          <w:b/>
          <w:sz w:val="24"/>
          <w:szCs w:val="24"/>
          <w:lang w:val="de-DE"/>
        </w:rPr>
        <w:t xml:space="preserve">Vereinten Nationen </w:t>
      </w:r>
      <w:r w:rsidRPr="00257369">
        <w:rPr>
          <w:rFonts w:ascii="Garamond" w:hAnsi="Garamond" w:cs="Times New Roman"/>
          <w:sz w:val="24"/>
          <w:szCs w:val="24"/>
          <w:lang w:val="de-DE"/>
        </w:rPr>
        <w:t xml:space="preserve">(VN) haben </w:t>
      </w:r>
      <w:r>
        <w:rPr>
          <w:rFonts w:ascii="Garamond" w:hAnsi="Garamond" w:cs="Times New Roman"/>
          <w:sz w:val="24"/>
          <w:szCs w:val="24"/>
          <w:lang w:val="de-DE"/>
        </w:rPr>
        <w:t>den internationalen Waffenhandelsvertrag (</w:t>
      </w:r>
      <w:r w:rsidRPr="00DA0B04">
        <w:rPr>
          <w:rFonts w:ascii="Garamond" w:hAnsi="Garamond" w:cs="Times New Roman"/>
          <w:b/>
          <w:sz w:val="24"/>
          <w:szCs w:val="24"/>
          <w:lang w:val="de-DE"/>
        </w:rPr>
        <w:t>Arms</w:t>
      </w:r>
      <w:r w:rsidR="00DA0B04" w:rsidRPr="00DA0B04">
        <w:rPr>
          <w:rFonts w:ascii="Garamond" w:hAnsi="Garamond" w:cs="Times New Roman"/>
          <w:b/>
          <w:sz w:val="24"/>
          <w:szCs w:val="24"/>
          <w:lang w:val="de-DE"/>
        </w:rPr>
        <w:t xml:space="preserve"> </w:t>
      </w:r>
      <w:r w:rsidRPr="00DA0B04">
        <w:rPr>
          <w:rFonts w:ascii="Garamond" w:hAnsi="Garamond" w:cs="Times New Roman"/>
          <w:b/>
          <w:sz w:val="24"/>
          <w:szCs w:val="24"/>
          <w:lang w:val="de-DE"/>
        </w:rPr>
        <w:t xml:space="preserve">Trade Treaty (ATT) </w:t>
      </w:r>
      <w:r>
        <w:rPr>
          <w:rFonts w:ascii="Garamond" w:hAnsi="Garamond" w:cs="Times New Roman"/>
          <w:sz w:val="24"/>
          <w:szCs w:val="24"/>
          <w:lang w:val="de-DE"/>
        </w:rPr>
        <w:t xml:space="preserve">verabschiedet. Der </w:t>
      </w:r>
      <w:r w:rsidR="00A34FDD">
        <w:rPr>
          <w:rFonts w:ascii="Garamond" w:hAnsi="Garamond" w:cs="Times New Roman"/>
          <w:sz w:val="24"/>
          <w:szCs w:val="24"/>
          <w:lang w:val="de-DE"/>
        </w:rPr>
        <w:t xml:space="preserve">Anwendungsbereich des </w:t>
      </w:r>
      <w:r>
        <w:rPr>
          <w:rFonts w:ascii="Garamond" w:hAnsi="Garamond" w:cs="Times New Roman"/>
          <w:sz w:val="24"/>
          <w:szCs w:val="24"/>
          <w:lang w:val="de-DE"/>
        </w:rPr>
        <w:t>Vertrag</w:t>
      </w:r>
      <w:r w:rsidR="00A34FDD">
        <w:rPr>
          <w:rFonts w:ascii="Garamond" w:hAnsi="Garamond" w:cs="Times New Roman"/>
          <w:sz w:val="24"/>
          <w:szCs w:val="24"/>
          <w:lang w:val="de-DE"/>
        </w:rPr>
        <w:t>s</w:t>
      </w:r>
      <w:r>
        <w:rPr>
          <w:rFonts w:ascii="Garamond" w:hAnsi="Garamond" w:cs="Times New Roman"/>
          <w:sz w:val="24"/>
          <w:szCs w:val="24"/>
          <w:lang w:val="de-DE"/>
        </w:rPr>
        <w:t xml:space="preserve"> erstreckt sich auch auf kleine und leichte Waffen und scheint auch auf Gewehre und nahezu alle Handfeuerwaffen einzuschließen. </w:t>
      </w:r>
      <w:r w:rsidR="00A34FDD">
        <w:rPr>
          <w:rFonts w:ascii="Garamond" w:hAnsi="Garamond" w:cs="Times New Roman"/>
          <w:sz w:val="24"/>
          <w:szCs w:val="24"/>
          <w:lang w:val="de-DE"/>
        </w:rPr>
        <w:t xml:space="preserve">Ungeachtet des breiten Anwendungsbereichs sind die Normen des ATT allgemein niedrig und liegen unter denen der EU. Auch befasst sich die ATT nicht mit den Bedingungen für den Erwerb und den Besitz von Feuerwaffen auf nationaler Ebene. </w:t>
      </w:r>
    </w:p>
    <w:p w:rsidR="00755A7D" w:rsidRPr="00755A7D" w:rsidRDefault="00755A7D" w:rsidP="008A4834">
      <w:pPr>
        <w:spacing w:after="0"/>
        <w:jc w:val="both"/>
        <w:rPr>
          <w:rFonts w:ascii="Garamond" w:hAnsi="Garamond" w:cs="Times New Roman"/>
          <w:sz w:val="24"/>
          <w:szCs w:val="24"/>
          <w:lang w:val="de-AT"/>
        </w:rPr>
      </w:pPr>
    </w:p>
    <w:p w:rsidR="00D90FDD" w:rsidRDefault="00C063D7" w:rsidP="00C063D7">
      <w:pPr>
        <w:tabs>
          <w:tab w:val="left" w:pos="3150"/>
        </w:tabs>
        <w:jc w:val="both"/>
        <w:rPr>
          <w:rFonts w:ascii="Garamond" w:hAnsi="Garamond" w:cs="Times New Roman"/>
          <w:sz w:val="24"/>
          <w:szCs w:val="24"/>
          <w:lang w:val="de-DE"/>
        </w:rPr>
      </w:pPr>
      <w:r w:rsidRPr="00C063D7">
        <w:rPr>
          <w:rFonts w:ascii="Garamond" w:hAnsi="Garamond" w:cs="Times New Roman"/>
          <w:sz w:val="24"/>
          <w:szCs w:val="24"/>
          <w:lang w:val="de-DE"/>
        </w:rPr>
        <w:t xml:space="preserve">Die GD HOME hat eine </w:t>
      </w:r>
      <w:r w:rsidRPr="00D90FDD">
        <w:rPr>
          <w:rFonts w:ascii="Garamond" w:hAnsi="Garamond" w:cs="Times New Roman"/>
          <w:b/>
          <w:sz w:val="24"/>
          <w:szCs w:val="24"/>
          <w:lang w:val="de-DE"/>
        </w:rPr>
        <w:t>öffentliche Konsultation</w:t>
      </w:r>
      <w:r w:rsidRPr="00C063D7">
        <w:rPr>
          <w:rFonts w:ascii="Garamond" w:hAnsi="Garamond" w:cs="Times New Roman"/>
          <w:sz w:val="24"/>
          <w:szCs w:val="24"/>
          <w:lang w:val="de-DE"/>
        </w:rPr>
        <w:t xml:space="preserve"> “</w:t>
      </w:r>
      <w:r w:rsidRPr="00C063D7">
        <w:rPr>
          <w:rFonts w:ascii="Garamond" w:hAnsi="Garamond" w:cs="Times New Roman"/>
          <w:i/>
          <w:sz w:val="24"/>
          <w:szCs w:val="24"/>
          <w:lang w:val="de-DE"/>
        </w:rPr>
        <w:t>zu einem gemeinsamen Konzept zur Eindämmung der Gefahr durch kriminellen Gebrauch von Feuerwaffen in der EU</w:t>
      </w:r>
      <w:r>
        <w:rPr>
          <w:rFonts w:ascii="Garamond" w:hAnsi="Garamond" w:cs="Times New Roman"/>
          <w:sz w:val="24"/>
          <w:szCs w:val="24"/>
          <w:lang w:val="de-DE"/>
        </w:rPr>
        <w:t xml:space="preserve">“ eingeleitet. </w:t>
      </w:r>
      <w:r w:rsidR="00755A7D">
        <w:rPr>
          <w:rFonts w:ascii="Garamond" w:hAnsi="Garamond" w:cs="Times New Roman"/>
          <w:sz w:val="24"/>
          <w:szCs w:val="24"/>
          <w:lang w:val="de-DE"/>
        </w:rPr>
        <w:t>FACE erwartet, dass d</w:t>
      </w:r>
      <w:r>
        <w:rPr>
          <w:rFonts w:ascii="Garamond" w:hAnsi="Garamond" w:cs="Times New Roman"/>
          <w:sz w:val="24"/>
          <w:szCs w:val="24"/>
          <w:lang w:val="de-DE"/>
        </w:rPr>
        <w:t xml:space="preserve">ie meisten der darin enthaltenen Fragen sind </w:t>
      </w:r>
      <w:r w:rsidR="00D90FDD">
        <w:rPr>
          <w:rFonts w:ascii="Garamond" w:hAnsi="Garamond" w:cs="Times New Roman"/>
          <w:sz w:val="24"/>
          <w:szCs w:val="24"/>
          <w:lang w:val="de-DE"/>
        </w:rPr>
        <w:t>tendenziös</w:t>
      </w:r>
      <w:r>
        <w:rPr>
          <w:rFonts w:ascii="Garamond" w:hAnsi="Garamond" w:cs="Times New Roman"/>
          <w:sz w:val="24"/>
          <w:szCs w:val="24"/>
          <w:lang w:val="de-DE"/>
        </w:rPr>
        <w:t xml:space="preserve"> und beziehen sich au</w:t>
      </w:r>
      <w:r w:rsidR="00DA0B04">
        <w:rPr>
          <w:rFonts w:ascii="Garamond" w:hAnsi="Garamond" w:cs="Times New Roman"/>
          <w:sz w:val="24"/>
          <w:szCs w:val="24"/>
          <w:lang w:val="de-DE"/>
        </w:rPr>
        <w:t>f spezifische Bestimmungen der Richtlinie</w:t>
      </w:r>
      <w:r>
        <w:rPr>
          <w:rFonts w:ascii="Garamond" w:hAnsi="Garamond" w:cs="Times New Roman"/>
          <w:sz w:val="24"/>
          <w:szCs w:val="24"/>
          <w:lang w:val="de-DE"/>
        </w:rPr>
        <w:t xml:space="preserve">, die sich mit legalen Feuerwaffen und nicht mit Kriminalität befassen.  GD HOME </w:t>
      </w:r>
      <w:r w:rsidR="00755A7D">
        <w:rPr>
          <w:rFonts w:ascii="Garamond" w:hAnsi="Garamond" w:cs="Times New Roman"/>
          <w:sz w:val="24"/>
          <w:szCs w:val="24"/>
          <w:lang w:val="de-DE"/>
        </w:rPr>
        <w:t>könnte diese Konsultation dazu nutzen,</w:t>
      </w:r>
      <w:r w:rsidR="00D90FDD">
        <w:rPr>
          <w:rFonts w:ascii="Garamond" w:hAnsi="Garamond" w:cs="Times New Roman"/>
          <w:sz w:val="24"/>
          <w:szCs w:val="24"/>
          <w:lang w:val="de-DE"/>
        </w:rPr>
        <w:t xml:space="preserve"> durch die Öffentlichkeit eine gewisse Legimitation zu erhalten, die Richtlinie zu überprüfen und restriktiver zu gestalten. FACE </w:t>
      </w:r>
      <w:r w:rsidR="00755A7D">
        <w:rPr>
          <w:rFonts w:ascii="Garamond" w:hAnsi="Garamond" w:cs="Times New Roman"/>
          <w:sz w:val="24"/>
          <w:szCs w:val="24"/>
          <w:lang w:val="de-DE"/>
        </w:rPr>
        <w:t xml:space="preserve">bittet daher Jäger </w:t>
      </w:r>
      <w:r w:rsidR="00D90FDD">
        <w:rPr>
          <w:rFonts w:ascii="Garamond" w:hAnsi="Garamond" w:cs="Times New Roman"/>
          <w:sz w:val="24"/>
          <w:szCs w:val="24"/>
          <w:lang w:val="de-DE"/>
        </w:rPr>
        <w:t>um d</w:t>
      </w:r>
      <w:r w:rsidR="00755A7D">
        <w:rPr>
          <w:rFonts w:ascii="Garamond" w:hAnsi="Garamond" w:cs="Times New Roman"/>
          <w:sz w:val="24"/>
          <w:szCs w:val="24"/>
          <w:lang w:val="de-DE"/>
        </w:rPr>
        <w:t>ie</w:t>
      </w:r>
      <w:r w:rsidR="00D90FDD">
        <w:rPr>
          <w:rFonts w:ascii="Garamond" w:hAnsi="Garamond" w:cs="Times New Roman"/>
          <w:sz w:val="24"/>
          <w:szCs w:val="24"/>
          <w:lang w:val="de-DE"/>
        </w:rPr>
        <w:t xml:space="preserve"> Teilnahme an dieser Konsultation zwecks Sicherstellung fundierter Antworten. </w:t>
      </w:r>
    </w:p>
    <w:p w:rsidR="008A4834" w:rsidRDefault="00BF3346" w:rsidP="008A4834">
      <w:pPr>
        <w:spacing w:after="0"/>
        <w:jc w:val="both"/>
        <w:rPr>
          <w:rFonts w:ascii="Garamond" w:hAnsi="Garamond" w:cs="Times New Roman"/>
          <w:sz w:val="24"/>
          <w:szCs w:val="24"/>
          <w:lang w:val="de-DE"/>
        </w:rPr>
      </w:pPr>
      <w:r w:rsidRPr="00BF3346">
        <w:rPr>
          <w:rFonts w:ascii="Garamond" w:hAnsi="Garamond" w:cs="Times New Roman"/>
          <w:sz w:val="24"/>
          <w:szCs w:val="24"/>
          <w:lang w:val="de-DE"/>
        </w:rPr>
        <w:t xml:space="preserve">Die GD HOME hat eine </w:t>
      </w:r>
      <w:r w:rsidRPr="008F5B62">
        <w:rPr>
          <w:rFonts w:ascii="Garamond" w:hAnsi="Garamond" w:cs="Times New Roman"/>
          <w:b/>
          <w:sz w:val="24"/>
          <w:szCs w:val="24"/>
          <w:lang w:val="de-DE"/>
        </w:rPr>
        <w:t>Expertengruppe zu Feuerwaffen</w:t>
      </w:r>
      <w:r>
        <w:rPr>
          <w:rFonts w:ascii="Garamond" w:hAnsi="Garamond" w:cs="Times New Roman"/>
          <w:sz w:val="24"/>
          <w:szCs w:val="24"/>
          <w:lang w:val="de-DE"/>
        </w:rPr>
        <w:t xml:space="preserve"> eingerichtet, </w:t>
      </w:r>
      <w:r w:rsidR="0074257A">
        <w:rPr>
          <w:rFonts w:ascii="Garamond" w:hAnsi="Garamond" w:cs="Times New Roman"/>
          <w:sz w:val="24"/>
          <w:szCs w:val="24"/>
          <w:lang w:val="de-DE"/>
        </w:rPr>
        <w:t>welche</w:t>
      </w:r>
      <w:r>
        <w:rPr>
          <w:rFonts w:ascii="Garamond" w:hAnsi="Garamond" w:cs="Times New Roman"/>
          <w:sz w:val="24"/>
          <w:szCs w:val="24"/>
          <w:lang w:val="de-DE"/>
        </w:rPr>
        <w:t xml:space="preserve"> im Sommer ihre Arbeit aufnehmen soll. </w:t>
      </w:r>
      <w:r w:rsidR="00DA0B04">
        <w:rPr>
          <w:rFonts w:ascii="Garamond" w:hAnsi="Garamond" w:cs="Times New Roman"/>
          <w:sz w:val="24"/>
          <w:szCs w:val="24"/>
          <w:lang w:val="de-DE"/>
        </w:rPr>
        <w:t>Die Mehrheit ihrer Mitglieder kommt aus den Reihen</w:t>
      </w:r>
      <w:r w:rsidR="0074257A">
        <w:rPr>
          <w:rFonts w:ascii="Garamond" w:hAnsi="Garamond" w:cs="Times New Roman"/>
          <w:sz w:val="24"/>
          <w:szCs w:val="24"/>
          <w:lang w:val="de-DE"/>
        </w:rPr>
        <w:t xml:space="preserve"> nationaler</w:t>
      </w:r>
      <w:r w:rsidR="008F5B62">
        <w:rPr>
          <w:rFonts w:ascii="Garamond" w:hAnsi="Garamond" w:cs="Times New Roman"/>
          <w:sz w:val="24"/>
          <w:szCs w:val="24"/>
          <w:lang w:val="de-DE"/>
        </w:rPr>
        <w:t xml:space="preserve"> </w:t>
      </w:r>
      <w:r w:rsidR="008F5B62">
        <w:rPr>
          <w:rFonts w:ascii="Garamond" w:hAnsi="Garamond" w:cs="Times New Roman"/>
          <w:sz w:val="24"/>
          <w:szCs w:val="24"/>
          <w:lang w:val="de-DE"/>
        </w:rPr>
        <w:lastRenderedPageBreak/>
        <w:t xml:space="preserve">Vollstreckungsbehörden. Auch die Feuerwaffenindustrie konnte sich eine Mitgliedschaft in der Gruppe sichern. Als Repräsentant der größten Gruppe legaler Feuerwaffennutzer in der EU, </w:t>
      </w:r>
      <w:r w:rsidR="006E6ACA">
        <w:rPr>
          <w:rFonts w:ascii="Garamond" w:hAnsi="Garamond" w:cs="Times New Roman"/>
          <w:sz w:val="24"/>
          <w:szCs w:val="24"/>
          <w:lang w:val="de-DE"/>
        </w:rPr>
        <w:t xml:space="preserve">bemüht </w:t>
      </w:r>
      <w:r w:rsidR="008F5B62">
        <w:rPr>
          <w:rFonts w:ascii="Garamond" w:hAnsi="Garamond" w:cs="Times New Roman"/>
          <w:sz w:val="24"/>
          <w:szCs w:val="24"/>
          <w:lang w:val="de-DE"/>
        </w:rPr>
        <w:t xml:space="preserve">sich FACE ebenfalls um eine Mitgliedschaft in der Gruppe, obwohl nur ein Platz für NGOs reserviert ist. </w:t>
      </w:r>
    </w:p>
    <w:p w:rsidR="008F5B62" w:rsidRPr="00BF3346" w:rsidRDefault="008F5B62" w:rsidP="008A4834">
      <w:pPr>
        <w:spacing w:after="0"/>
        <w:jc w:val="both"/>
        <w:rPr>
          <w:rFonts w:ascii="Garamond" w:hAnsi="Garamond" w:cs="Times New Roman"/>
          <w:sz w:val="24"/>
          <w:szCs w:val="24"/>
          <w:lang w:val="de-DE"/>
        </w:rPr>
      </w:pPr>
    </w:p>
    <w:p w:rsidR="002F5519" w:rsidRPr="004679B4" w:rsidRDefault="002F5519" w:rsidP="008A4834">
      <w:pPr>
        <w:spacing w:after="0"/>
        <w:jc w:val="both"/>
        <w:rPr>
          <w:rFonts w:ascii="Times New Roman" w:hAnsi="Times New Roman" w:cs="Times New Roman"/>
          <w:sz w:val="24"/>
          <w:szCs w:val="24"/>
          <w:lang w:val="de-DE"/>
        </w:rPr>
      </w:pPr>
      <w:r w:rsidRPr="004679B4">
        <w:rPr>
          <w:rFonts w:ascii="extravaganzza" w:hAnsi="extravaganzza" w:cs="Times New Roman"/>
          <w:sz w:val="24"/>
          <w:szCs w:val="24"/>
          <w:lang w:val="de-DE"/>
        </w:rPr>
        <w:t xml:space="preserve">VERMEINTLICHE </w:t>
      </w:r>
      <w:r w:rsidRPr="00342574">
        <w:rPr>
          <w:rFonts w:ascii="extravaganzza" w:hAnsi="extravaganzza" w:cs="Times New Roman"/>
          <w:sz w:val="24"/>
          <w:szCs w:val="24"/>
          <w:lang w:val="de-DE"/>
        </w:rPr>
        <w:t>RECHTFERTIGUNG F</w:t>
      </w:r>
      <w:r w:rsidRPr="00342574">
        <w:rPr>
          <w:rFonts w:cstheme="minorHAnsi"/>
          <w:sz w:val="24"/>
          <w:szCs w:val="24"/>
          <w:lang w:val="de-DE"/>
        </w:rPr>
        <w:t>Ü</w:t>
      </w:r>
      <w:r w:rsidRPr="00342574">
        <w:rPr>
          <w:rFonts w:ascii="extravaganzza" w:hAnsi="extravaganzza" w:cs="Times New Roman"/>
          <w:sz w:val="24"/>
          <w:szCs w:val="24"/>
          <w:lang w:val="de-DE"/>
        </w:rPr>
        <w:t>R WEITERE RESTRIKTIONEN</w:t>
      </w:r>
      <w:r w:rsidRPr="004679B4">
        <w:rPr>
          <w:rFonts w:ascii="Times New Roman" w:hAnsi="Times New Roman" w:cs="Times New Roman"/>
          <w:sz w:val="24"/>
          <w:szCs w:val="24"/>
          <w:lang w:val="de-DE"/>
        </w:rPr>
        <w:t xml:space="preserve"> </w:t>
      </w:r>
    </w:p>
    <w:p w:rsidR="008F5B62" w:rsidRPr="004679B4" w:rsidRDefault="008F5B62" w:rsidP="008A4834">
      <w:pPr>
        <w:spacing w:after="0"/>
        <w:jc w:val="both"/>
        <w:rPr>
          <w:rFonts w:ascii="Garamond" w:hAnsi="Garamond" w:cs="Times New Roman"/>
          <w:sz w:val="24"/>
          <w:szCs w:val="24"/>
          <w:lang w:val="de-DE"/>
        </w:rPr>
      </w:pPr>
    </w:p>
    <w:p w:rsidR="002F5519" w:rsidRPr="002F5519" w:rsidRDefault="00DA0B04" w:rsidP="008A4834">
      <w:pPr>
        <w:spacing w:after="0"/>
        <w:jc w:val="both"/>
        <w:rPr>
          <w:rFonts w:ascii="Garamond" w:hAnsi="Garamond" w:cs="Times New Roman"/>
          <w:sz w:val="24"/>
          <w:szCs w:val="24"/>
          <w:lang w:val="de-DE"/>
        </w:rPr>
      </w:pPr>
      <w:r>
        <w:rPr>
          <w:rFonts w:ascii="Garamond" w:hAnsi="Garamond" w:cs="Times New Roman"/>
          <w:sz w:val="24"/>
          <w:szCs w:val="24"/>
          <w:lang w:val="de-DE"/>
        </w:rPr>
        <w:t xml:space="preserve">Kommissarin Malmström </w:t>
      </w:r>
      <w:r w:rsidR="006E6ACA">
        <w:rPr>
          <w:rFonts w:ascii="Garamond" w:hAnsi="Garamond" w:cs="Times New Roman"/>
          <w:sz w:val="24"/>
          <w:szCs w:val="24"/>
          <w:lang w:val="de-DE"/>
        </w:rPr>
        <w:t>und</w:t>
      </w:r>
      <w:r w:rsidR="006E6ACA" w:rsidRPr="002F5519">
        <w:rPr>
          <w:rFonts w:ascii="Garamond" w:hAnsi="Garamond" w:cs="Times New Roman"/>
          <w:sz w:val="24"/>
          <w:szCs w:val="24"/>
          <w:lang w:val="de-DE"/>
        </w:rPr>
        <w:t xml:space="preserve"> GD</w:t>
      </w:r>
      <w:r w:rsidR="006E6ACA">
        <w:rPr>
          <w:rFonts w:ascii="Garamond" w:hAnsi="Garamond" w:cs="Times New Roman"/>
          <w:sz w:val="24"/>
          <w:szCs w:val="24"/>
          <w:lang w:val="de-DE"/>
        </w:rPr>
        <w:t xml:space="preserve"> HOME argumentieren</w:t>
      </w:r>
      <w:r w:rsidR="002F5519" w:rsidRPr="002F5519">
        <w:rPr>
          <w:rFonts w:ascii="Garamond" w:hAnsi="Garamond" w:cs="Times New Roman"/>
          <w:sz w:val="24"/>
          <w:szCs w:val="24"/>
          <w:lang w:val="de-DE"/>
        </w:rPr>
        <w:t xml:space="preserve">, dass  zwischen dem </w:t>
      </w:r>
      <w:r>
        <w:rPr>
          <w:rFonts w:ascii="Garamond" w:hAnsi="Garamond" w:cs="Times New Roman"/>
          <w:sz w:val="24"/>
          <w:szCs w:val="24"/>
          <w:lang w:val="de-DE"/>
        </w:rPr>
        <w:t>rechtmäßigen</w:t>
      </w:r>
      <w:r w:rsidR="002F5519" w:rsidRPr="002F5519">
        <w:rPr>
          <w:rFonts w:ascii="Garamond" w:hAnsi="Garamond" w:cs="Times New Roman"/>
          <w:sz w:val="24"/>
          <w:szCs w:val="24"/>
          <w:lang w:val="de-DE"/>
        </w:rPr>
        <w:t xml:space="preserve"> Besitz von Feuerwaffen und dem un</w:t>
      </w:r>
      <w:r w:rsidR="0074257A">
        <w:rPr>
          <w:rFonts w:ascii="Garamond" w:hAnsi="Garamond" w:cs="Times New Roman"/>
          <w:sz w:val="24"/>
          <w:szCs w:val="24"/>
          <w:lang w:val="de-DE"/>
        </w:rPr>
        <w:t>erlaubten</w:t>
      </w:r>
      <w:r w:rsidR="002F5519" w:rsidRPr="002F5519">
        <w:rPr>
          <w:rFonts w:ascii="Garamond" w:hAnsi="Garamond" w:cs="Times New Roman"/>
          <w:sz w:val="24"/>
          <w:szCs w:val="24"/>
          <w:lang w:val="de-DE"/>
        </w:rPr>
        <w:t xml:space="preserve"> Handel mit Feuerwaffen </w:t>
      </w:r>
      <w:r>
        <w:rPr>
          <w:rFonts w:ascii="Garamond" w:hAnsi="Garamond" w:cs="Times New Roman"/>
          <w:sz w:val="24"/>
          <w:szCs w:val="24"/>
          <w:lang w:val="de-DE"/>
        </w:rPr>
        <w:t xml:space="preserve">eine Verbindung besteht </w:t>
      </w:r>
      <w:r w:rsidR="002F5519" w:rsidRPr="002F5519">
        <w:rPr>
          <w:rFonts w:ascii="Garamond" w:hAnsi="Garamond" w:cs="Times New Roman"/>
          <w:sz w:val="24"/>
          <w:szCs w:val="24"/>
          <w:lang w:val="de-DE"/>
        </w:rPr>
        <w:t xml:space="preserve">und die </w:t>
      </w:r>
      <w:r>
        <w:rPr>
          <w:rFonts w:ascii="Garamond" w:hAnsi="Garamond" w:cs="Times New Roman"/>
          <w:sz w:val="24"/>
          <w:szCs w:val="24"/>
          <w:lang w:val="de-DE"/>
        </w:rPr>
        <w:t xml:space="preserve">Richtlinie daher zu ändern ist, versäumten es allerdings, diese Behauptung zu begründen. </w:t>
      </w:r>
      <w:r w:rsidR="002F5519">
        <w:rPr>
          <w:rFonts w:ascii="Garamond" w:hAnsi="Garamond" w:cs="Times New Roman"/>
          <w:sz w:val="24"/>
          <w:szCs w:val="24"/>
          <w:lang w:val="de-DE"/>
        </w:rPr>
        <w:t xml:space="preserve"> </w:t>
      </w:r>
    </w:p>
    <w:p w:rsidR="002F5519" w:rsidRPr="0074257A" w:rsidRDefault="002F5519" w:rsidP="008A4834">
      <w:pPr>
        <w:spacing w:after="0"/>
        <w:jc w:val="both"/>
        <w:rPr>
          <w:rFonts w:ascii="Garamond" w:hAnsi="Garamond" w:cs="Times New Roman"/>
          <w:sz w:val="24"/>
          <w:szCs w:val="24"/>
          <w:lang w:val="de-DE"/>
        </w:rPr>
      </w:pPr>
    </w:p>
    <w:p w:rsidR="008A4834" w:rsidRDefault="002F5519" w:rsidP="008A4834">
      <w:pPr>
        <w:spacing w:after="0"/>
        <w:jc w:val="both"/>
        <w:rPr>
          <w:rFonts w:ascii="Garamond" w:hAnsi="Garamond" w:cs="Times New Roman"/>
          <w:sz w:val="24"/>
          <w:szCs w:val="24"/>
          <w:lang w:val="de-DE"/>
        </w:rPr>
      </w:pPr>
      <w:r w:rsidRPr="002F5519">
        <w:rPr>
          <w:rFonts w:ascii="Garamond" w:hAnsi="Garamond" w:cs="Times New Roman"/>
          <w:sz w:val="24"/>
          <w:szCs w:val="24"/>
          <w:lang w:val="de-DE"/>
        </w:rPr>
        <w:t xml:space="preserve">FACE hat vor kurzem </w:t>
      </w:r>
      <w:r w:rsidR="00A94EA3">
        <w:rPr>
          <w:rFonts w:ascii="Garamond" w:hAnsi="Garamond" w:cs="Times New Roman"/>
          <w:sz w:val="24"/>
          <w:szCs w:val="24"/>
          <w:lang w:val="de-DE"/>
        </w:rPr>
        <w:t>bei der GD HOME gegen die Art und Schwere dieser ungerechtfertigten Behauptungen protestiert. Die GD HOME antwortete daraufhin, dass sie damit nicht unterstelle, dass Jäger und Sportschützen in den unerlaubten Handel involviert seien, sondern bestimmte Komponenten des aktuellen Rechtsrahmens de</w:t>
      </w:r>
      <w:bookmarkStart w:id="0" w:name="_GoBack"/>
      <w:bookmarkEnd w:id="0"/>
      <w:r w:rsidR="00A94EA3">
        <w:rPr>
          <w:rFonts w:ascii="Garamond" w:hAnsi="Garamond" w:cs="Times New Roman"/>
          <w:sz w:val="24"/>
          <w:szCs w:val="24"/>
          <w:lang w:val="de-DE"/>
        </w:rPr>
        <w:t xml:space="preserve">r EU den unerlaubten Handel erleichterten. Sie hätten vor allem </w:t>
      </w:r>
      <w:r w:rsidR="00547CA4">
        <w:rPr>
          <w:rFonts w:ascii="Garamond" w:hAnsi="Garamond" w:cs="Times New Roman"/>
          <w:sz w:val="24"/>
          <w:szCs w:val="24"/>
          <w:lang w:val="de-DE"/>
        </w:rPr>
        <w:t>das Fehlen allgemeiner</w:t>
      </w:r>
      <w:r w:rsidR="00A94EA3">
        <w:rPr>
          <w:rFonts w:ascii="Garamond" w:hAnsi="Garamond" w:cs="Times New Roman"/>
          <w:sz w:val="24"/>
          <w:szCs w:val="24"/>
          <w:lang w:val="de-DE"/>
        </w:rPr>
        <w:t xml:space="preserve"> Normen für die häusliche Verwahrung von Feuerwaffen und die Unbrauchbarmachung von Feuerwaffen</w:t>
      </w:r>
      <w:r w:rsidR="00547CA4">
        <w:rPr>
          <w:rFonts w:ascii="Garamond" w:hAnsi="Garamond" w:cs="Times New Roman"/>
          <w:sz w:val="24"/>
          <w:szCs w:val="24"/>
          <w:lang w:val="de-DE"/>
        </w:rPr>
        <w:t xml:space="preserve"> festgestellt</w:t>
      </w:r>
      <w:r w:rsidR="00A94EA3">
        <w:rPr>
          <w:rFonts w:ascii="Garamond" w:hAnsi="Garamond" w:cs="Times New Roman"/>
          <w:sz w:val="24"/>
          <w:szCs w:val="24"/>
          <w:lang w:val="de-DE"/>
        </w:rPr>
        <w:t xml:space="preserve">. Diese Argumente kann FACE jedoch nicht akzeptieren.  Die Mehrheit der Mitgliedstaaten </w:t>
      </w:r>
      <w:r w:rsidR="00547CA4">
        <w:rPr>
          <w:rFonts w:ascii="Garamond" w:hAnsi="Garamond" w:cs="Times New Roman"/>
          <w:sz w:val="24"/>
          <w:szCs w:val="24"/>
          <w:lang w:val="de-DE"/>
        </w:rPr>
        <w:t xml:space="preserve">verfügt </w:t>
      </w:r>
      <w:r w:rsidR="00A94EA3">
        <w:rPr>
          <w:rFonts w:ascii="Garamond" w:hAnsi="Garamond" w:cs="Times New Roman"/>
          <w:sz w:val="24"/>
          <w:szCs w:val="24"/>
          <w:lang w:val="de-DE"/>
        </w:rPr>
        <w:t xml:space="preserve">nämlich bereits </w:t>
      </w:r>
      <w:r w:rsidR="0074257A">
        <w:rPr>
          <w:rFonts w:ascii="Garamond" w:hAnsi="Garamond" w:cs="Times New Roman"/>
          <w:sz w:val="24"/>
          <w:szCs w:val="24"/>
          <w:lang w:val="de-DE"/>
        </w:rPr>
        <w:t xml:space="preserve">über </w:t>
      </w:r>
      <w:r w:rsidR="00A94EA3">
        <w:rPr>
          <w:rFonts w:ascii="Garamond" w:hAnsi="Garamond" w:cs="Times New Roman"/>
          <w:sz w:val="24"/>
          <w:szCs w:val="24"/>
          <w:lang w:val="de-DE"/>
        </w:rPr>
        <w:t xml:space="preserve">Vorschriften </w:t>
      </w:r>
      <w:r w:rsidR="0074257A">
        <w:rPr>
          <w:rFonts w:ascii="Garamond" w:hAnsi="Garamond" w:cs="Times New Roman"/>
          <w:sz w:val="24"/>
          <w:szCs w:val="24"/>
          <w:lang w:val="de-DE"/>
        </w:rPr>
        <w:t>zur</w:t>
      </w:r>
      <w:r w:rsidR="00A94EA3">
        <w:rPr>
          <w:rFonts w:ascii="Garamond" w:hAnsi="Garamond" w:cs="Times New Roman"/>
          <w:sz w:val="24"/>
          <w:szCs w:val="24"/>
          <w:lang w:val="de-DE"/>
        </w:rPr>
        <w:t xml:space="preserve"> häusliche</w:t>
      </w:r>
      <w:r w:rsidR="0074257A">
        <w:rPr>
          <w:rFonts w:ascii="Garamond" w:hAnsi="Garamond" w:cs="Times New Roman"/>
          <w:sz w:val="24"/>
          <w:szCs w:val="24"/>
          <w:lang w:val="de-DE"/>
        </w:rPr>
        <w:t>n</w:t>
      </w:r>
      <w:r w:rsidR="00A94EA3">
        <w:rPr>
          <w:rFonts w:ascii="Garamond" w:hAnsi="Garamond" w:cs="Times New Roman"/>
          <w:sz w:val="24"/>
          <w:szCs w:val="24"/>
          <w:lang w:val="de-DE"/>
        </w:rPr>
        <w:t xml:space="preserve"> Verwahrung von Feuerwaffen. Die Kommission hat keinen Beweis oder Zahlen vorgelegt, aus denen hervorgeht, dass der Diebstahl von Feuerwaffen in rechtmäßigem Privatbesitz  ein größeres Problem darstellt, welches ein Handeln der EU erfordert. Darüber hinaus fordert die Richtlinie ja bereits heute, dass unbrauchbar gemachte Feuerwaffen „</w:t>
      </w:r>
      <w:r w:rsidR="00A94EA3" w:rsidRPr="00547CA4">
        <w:rPr>
          <w:rFonts w:ascii="Garamond" w:hAnsi="Garamond" w:cs="Times New Roman"/>
          <w:i/>
          <w:sz w:val="24"/>
          <w:szCs w:val="24"/>
          <w:lang w:val="de-DE"/>
        </w:rPr>
        <w:t>endgültig unbrauchbar zu machen sind</w:t>
      </w:r>
      <w:r w:rsidR="00547CA4">
        <w:rPr>
          <w:rFonts w:ascii="Garamond" w:hAnsi="Garamond" w:cs="Times New Roman"/>
          <w:i/>
          <w:sz w:val="24"/>
          <w:szCs w:val="24"/>
          <w:lang w:val="de-DE"/>
        </w:rPr>
        <w:t>“</w:t>
      </w:r>
      <w:r w:rsidR="00A94EA3" w:rsidRPr="00547CA4">
        <w:rPr>
          <w:rFonts w:ascii="Garamond" w:hAnsi="Garamond" w:cs="Times New Roman"/>
          <w:i/>
          <w:sz w:val="24"/>
          <w:szCs w:val="24"/>
          <w:lang w:val="de-DE"/>
        </w:rPr>
        <w:t>,</w:t>
      </w:r>
      <w:r w:rsidR="00A94EA3">
        <w:rPr>
          <w:rFonts w:ascii="Garamond" w:hAnsi="Garamond" w:cs="Times New Roman"/>
          <w:sz w:val="24"/>
          <w:szCs w:val="24"/>
          <w:lang w:val="de-DE"/>
        </w:rPr>
        <w:t xml:space="preserve"> und </w:t>
      </w:r>
      <w:r w:rsidR="00505489">
        <w:rPr>
          <w:rFonts w:ascii="Garamond" w:hAnsi="Garamond" w:cs="Times New Roman"/>
          <w:sz w:val="24"/>
          <w:szCs w:val="24"/>
          <w:lang w:val="de-DE"/>
        </w:rPr>
        <w:t>verpflichtet die Kommission dazu, gemeinsame Leitlinie</w:t>
      </w:r>
      <w:r w:rsidR="00547CA4">
        <w:rPr>
          <w:rFonts w:ascii="Garamond" w:hAnsi="Garamond" w:cs="Times New Roman"/>
          <w:sz w:val="24"/>
          <w:szCs w:val="24"/>
          <w:lang w:val="de-DE"/>
        </w:rPr>
        <w:t>n</w:t>
      </w:r>
      <w:r w:rsidR="00505489">
        <w:rPr>
          <w:rFonts w:ascii="Garamond" w:hAnsi="Garamond" w:cs="Times New Roman"/>
          <w:sz w:val="24"/>
          <w:szCs w:val="24"/>
          <w:lang w:val="de-DE"/>
        </w:rPr>
        <w:t xml:space="preserve"> zur Unbrauchbarmachung zu erlassen (</w:t>
      </w:r>
      <w:r w:rsidR="00547CA4">
        <w:rPr>
          <w:rFonts w:ascii="Garamond" w:hAnsi="Garamond" w:cs="Times New Roman"/>
          <w:sz w:val="24"/>
          <w:szCs w:val="24"/>
          <w:lang w:val="de-DE"/>
        </w:rPr>
        <w:t>was die Kommission bisher versäumt hat</w:t>
      </w:r>
      <w:r w:rsidR="00505489">
        <w:rPr>
          <w:rFonts w:ascii="Garamond" w:hAnsi="Garamond" w:cs="Times New Roman"/>
          <w:sz w:val="24"/>
          <w:szCs w:val="24"/>
          <w:lang w:val="de-DE"/>
        </w:rPr>
        <w:t xml:space="preserve">). </w:t>
      </w:r>
    </w:p>
    <w:p w:rsidR="00525AF4" w:rsidRDefault="00525AF4" w:rsidP="008A4834">
      <w:pPr>
        <w:spacing w:after="0"/>
        <w:jc w:val="both"/>
        <w:rPr>
          <w:rFonts w:ascii="Garamond" w:hAnsi="Garamond" w:cs="Times New Roman"/>
          <w:sz w:val="24"/>
          <w:szCs w:val="24"/>
          <w:lang w:val="de-DE"/>
        </w:rPr>
      </w:pPr>
    </w:p>
    <w:p w:rsidR="008A4834" w:rsidRDefault="00505489" w:rsidP="008A4834">
      <w:pPr>
        <w:spacing w:after="0"/>
        <w:jc w:val="both"/>
        <w:rPr>
          <w:rFonts w:ascii="Garamond" w:hAnsi="Garamond" w:cs="Times New Roman"/>
          <w:sz w:val="24"/>
          <w:szCs w:val="24"/>
          <w:lang w:val="de-DE"/>
        </w:rPr>
      </w:pPr>
      <w:r w:rsidRPr="00505489">
        <w:rPr>
          <w:rFonts w:ascii="Garamond" w:hAnsi="Garamond" w:cs="Times New Roman"/>
          <w:sz w:val="24"/>
          <w:szCs w:val="24"/>
          <w:lang w:val="de-DE"/>
        </w:rPr>
        <w:t xml:space="preserve">Die GD HOME hat ebenfalls damit argumentiert, </w:t>
      </w:r>
      <w:r>
        <w:rPr>
          <w:rFonts w:ascii="Garamond" w:hAnsi="Garamond" w:cs="Times New Roman"/>
          <w:sz w:val="24"/>
          <w:szCs w:val="24"/>
          <w:lang w:val="de-DE"/>
        </w:rPr>
        <w:t>dass ungeachtet fehlender Daten</w:t>
      </w:r>
      <w:r w:rsidR="00525AF4">
        <w:rPr>
          <w:rFonts w:ascii="Garamond" w:hAnsi="Garamond" w:cs="Times New Roman"/>
          <w:sz w:val="24"/>
          <w:szCs w:val="24"/>
          <w:lang w:val="de-DE"/>
        </w:rPr>
        <w:t>,</w:t>
      </w:r>
      <w:r>
        <w:rPr>
          <w:rFonts w:ascii="Garamond" w:hAnsi="Garamond" w:cs="Times New Roman"/>
          <w:sz w:val="24"/>
          <w:szCs w:val="24"/>
          <w:lang w:val="de-DE"/>
        </w:rPr>
        <w:t xml:space="preserve"> ein Problem mit der „</w:t>
      </w:r>
      <w:r w:rsidRPr="00547CA4">
        <w:rPr>
          <w:rFonts w:ascii="Garamond" w:hAnsi="Garamond" w:cs="Times New Roman"/>
          <w:i/>
          <w:sz w:val="24"/>
          <w:szCs w:val="24"/>
          <w:lang w:val="de-DE"/>
        </w:rPr>
        <w:t>öffentlichen Wahrnehmung</w:t>
      </w:r>
      <w:r>
        <w:rPr>
          <w:rFonts w:ascii="Garamond" w:hAnsi="Garamond" w:cs="Times New Roman"/>
          <w:sz w:val="24"/>
          <w:szCs w:val="24"/>
          <w:lang w:val="de-DE"/>
        </w:rPr>
        <w:t>“ bestünde, welches man ebenfalls berücksichtigen müssen. Der Rückzug auf ein derartig nebulöses Konzept könnte ein gefährliche</w:t>
      </w:r>
      <w:r w:rsidR="00525AF4">
        <w:rPr>
          <w:rFonts w:ascii="Garamond" w:hAnsi="Garamond" w:cs="Times New Roman"/>
          <w:sz w:val="24"/>
          <w:szCs w:val="24"/>
          <w:lang w:val="de-DE"/>
        </w:rPr>
        <w:t>r</w:t>
      </w:r>
      <w:r>
        <w:rPr>
          <w:rFonts w:ascii="Garamond" w:hAnsi="Garamond" w:cs="Times New Roman"/>
          <w:sz w:val="24"/>
          <w:szCs w:val="24"/>
          <w:lang w:val="de-DE"/>
        </w:rPr>
        <w:t xml:space="preserve"> Präzedenzfall für den Erlass von Rechtsvorschriften </w:t>
      </w:r>
      <w:r w:rsidR="00525AF4">
        <w:rPr>
          <w:rFonts w:ascii="Garamond" w:hAnsi="Garamond" w:cs="Times New Roman"/>
          <w:sz w:val="24"/>
          <w:szCs w:val="24"/>
          <w:lang w:val="de-DE"/>
        </w:rPr>
        <w:t>werden</w:t>
      </w:r>
      <w:r>
        <w:rPr>
          <w:rFonts w:ascii="Garamond" w:hAnsi="Garamond" w:cs="Times New Roman"/>
          <w:sz w:val="24"/>
          <w:szCs w:val="24"/>
          <w:lang w:val="de-DE"/>
        </w:rPr>
        <w:t xml:space="preserve"> und unterstreicht </w:t>
      </w:r>
      <w:r w:rsidR="00525AF4">
        <w:rPr>
          <w:rFonts w:ascii="Garamond" w:hAnsi="Garamond" w:cs="Times New Roman"/>
          <w:sz w:val="24"/>
          <w:szCs w:val="24"/>
          <w:lang w:val="de-DE"/>
        </w:rPr>
        <w:t xml:space="preserve">die Beweisnot für die Aufrechterhaltung der Behauptung einer </w:t>
      </w:r>
      <w:r>
        <w:rPr>
          <w:rFonts w:ascii="Garamond" w:hAnsi="Garamond" w:cs="Times New Roman"/>
          <w:sz w:val="24"/>
          <w:szCs w:val="24"/>
          <w:lang w:val="de-DE"/>
        </w:rPr>
        <w:t>angeblichen Verbindung zwischen legalen Feuerwaf</w:t>
      </w:r>
      <w:r w:rsidR="00525AF4">
        <w:rPr>
          <w:rFonts w:ascii="Garamond" w:hAnsi="Garamond" w:cs="Times New Roman"/>
          <w:sz w:val="24"/>
          <w:szCs w:val="24"/>
          <w:lang w:val="de-DE"/>
        </w:rPr>
        <w:t xml:space="preserve">fen und kriminellen Handlungen. </w:t>
      </w:r>
    </w:p>
    <w:p w:rsidR="00505489" w:rsidRPr="00505489" w:rsidRDefault="00505489" w:rsidP="008A4834">
      <w:pPr>
        <w:spacing w:after="0"/>
        <w:jc w:val="both"/>
        <w:rPr>
          <w:rFonts w:ascii="Garamond" w:hAnsi="Garamond" w:cs="Times New Roman"/>
          <w:sz w:val="24"/>
          <w:szCs w:val="24"/>
          <w:lang w:val="de-DE"/>
        </w:rPr>
      </w:pPr>
    </w:p>
    <w:p w:rsidR="008A4834" w:rsidRPr="00755A7D" w:rsidRDefault="00505489" w:rsidP="008A4834">
      <w:pPr>
        <w:spacing w:after="0"/>
        <w:jc w:val="both"/>
        <w:rPr>
          <w:rFonts w:ascii="extravaganzza" w:hAnsi="extravaganzza" w:cs="Times New Roman"/>
          <w:sz w:val="24"/>
          <w:szCs w:val="24"/>
          <w:lang w:val="de-AT"/>
        </w:rPr>
      </w:pPr>
      <w:r w:rsidRPr="00755A7D">
        <w:rPr>
          <w:rFonts w:ascii="extravaganzza" w:hAnsi="extravaganzza" w:cs="Times New Roman"/>
          <w:sz w:val="24"/>
          <w:szCs w:val="24"/>
          <w:lang w:val="de-AT"/>
        </w:rPr>
        <w:t xml:space="preserve">BEISPIELE </w:t>
      </w:r>
      <w:r w:rsidRPr="00342574">
        <w:rPr>
          <w:rFonts w:ascii="extravaganzza" w:hAnsi="extravaganzza" w:cs="Times New Roman"/>
          <w:sz w:val="24"/>
          <w:szCs w:val="24"/>
          <w:lang w:val="de-AT"/>
        </w:rPr>
        <w:t>F</w:t>
      </w:r>
      <w:r w:rsidRPr="00342574">
        <w:rPr>
          <w:rFonts w:cstheme="minorHAnsi"/>
          <w:sz w:val="24"/>
          <w:szCs w:val="24"/>
          <w:lang w:val="de-AT"/>
        </w:rPr>
        <w:t>Ü</w:t>
      </w:r>
      <w:r w:rsidRPr="00342574">
        <w:rPr>
          <w:rFonts w:ascii="extravaganzza" w:hAnsi="extravaganzza" w:cs="Times New Roman"/>
          <w:sz w:val="24"/>
          <w:szCs w:val="24"/>
          <w:lang w:val="de-AT"/>
        </w:rPr>
        <w:t xml:space="preserve">R WEITERE </w:t>
      </w:r>
      <w:r w:rsidR="00C238D6" w:rsidRPr="00342574">
        <w:rPr>
          <w:rFonts w:ascii="extravaganzza" w:hAnsi="extravaganzza" w:cs="Times New Roman"/>
          <w:sz w:val="24"/>
          <w:szCs w:val="24"/>
          <w:lang w:val="de-AT"/>
        </w:rPr>
        <w:t>EINSCHR</w:t>
      </w:r>
      <w:r w:rsidR="00C238D6" w:rsidRPr="00342574">
        <w:rPr>
          <w:rFonts w:cstheme="minorHAnsi"/>
          <w:sz w:val="24"/>
          <w:szCs w:val="24"/>
          <w:lang w:val="de-AT"/>
        </w:rPr>
        <w:t>Ä</w:t>
      </w:r>
      <w:r w:rsidR="00C238D6" w:rsidRPr="00342574">
        <w:rPr>
          <w:rFonts w:ascii="extravaganzza" w:hAnsi="extravaganzza" w:cs="Times New Roman"/>
          <w:sz w:val="24"/>
          <w:szCs w:val="24"/>
          <w:lang w:val="de-AT"/>
        </w:rPr>
        <w:t>NKUNGEN</w:t>
      </w:r>
    </w:p>
    <w:p w:rsidR="008A4834" w:rsidRPr="00755A7D" w:rsidRDefault="008A4834" w:rsidP="008A4834">
      <w:pPr>
        <w:spacing w:after="0"/>
        <w:jc w:val="both"/>
        <w:rPr>
          <w:rFonts w:ascii="Garamond" w:hAnsi="Garamond" w:cs="Times New Roman"/>
          <w:sz w:val="24"/>
          <w:szCs w:val="24"/>
          <w:lang w:val="de-AT"/>
        </w:rPr>
      </w:pPr>
    </w:p>
    <w:p w:rsidR="008A4834" w:rsidRPr="00C238D6" w:rsidRDefault="00525AF4" w:rsidP="008A4834">
      <w:pPr>
        <w:spacing w:after="0"/>
        <w:jc w:val="both"/>
        <w:rPr>
          <w:rFonts w:ascii="Garamond" w:hAnsi="Garamond" w:cs="Times New Roman"/>
          <w:sz w:val="24"/>
          <w:szCs w:val="24"/>
          <w:lang w:val="de-DE"/>
        </w:rPr>
      </w:pPr>
      <w:r>
        <w:rPr>
          <w:rFonts w:ascii="Garamond" w:hAnsi="Garamond" w:cs="Times New Roman"/>
          <w:sz w:val="24"/>
          <w:szCs w:val="24"/>
          <w:lang w:val="de-DE"/>
        </w:rPr>
        <w:t>Auf der Grundlage der öffentlichen Aussagen der GD HOME und Kommissarin Mal</w:t>
      </w:r>
      <w:r w:rsidR="0074257A">
        <w:rPr>
          <w:rFonts w:ascii="Garamond" w:hAnsi="Garamond" w:cs="Times New Roman"/>
          <w:sz w:val="24"/>
          <w:szCs w:val="24"/>
          <w:lang w:val="de-DE"/>
        </w:rPr>
        <w:t>m</w:t>
      </w:r>
      <w:r>
        <w:rPr>
          <w:rFonts w:ascii="Garamond" w:hAnsi="Garamond" w:cs="Times New Roman"/>
          <w:sz w:val="24"/>
          <w:szCs w:val="24"/>
          <w:lang w:val="de-DE"/>
        </w:rPr>
        <w:t>ström und der vor kurzem eingeleiteten öffentlichen Konsultation können dies Beispiel möglicher Restriktionen sein</w:t>
      </w:r>
      <w:r w:rsidR="00C238D6">
        <w:rPr>
          <w:rFonts w:ascii="Garamond" w:hAnsi="Garamond" w:cs="Times New Roman"/>
          <w:sz w:val="24"/>
          <w:szCs w:val="24"/>
          <w:lang w:val="de-DE"/>
        </w:rPr>
        <w:t>:</w:t>
      </w:r>
    </w:p>
    <w:p w:rsidR="00C238D6" w:rsidRPr="00C238D6" w:rsidRDefault="00C238D6" w:rsidP="00964FCE">
      <w:pPr>
        <w:pStyle w:val="ListParagraph"/>
        <w:numPr>
          <w:ilvl w:val="0"/>
          <w:numId w:val="1"/>
        </w:numPr>
        <w:spacing w:after="0"/>
        <w:jc w:val="both"/>
        <w:rPr>
          <w:rFonts w:ascii="Garamond" w:hAnsi="Garamond" w:cs="Times New Roman"/>
          <w:sz w:val="24"/>
          <w:szCs w:val="24"/>
          <w:lang w:val="de-DE"/>
        </w:rPr>
      </w:pPr>
      <w:r>
        <w:rPr>
          <w:rFonts w:ascii="Garamond" w:hAnsi="Garamond" w:cs="Times New Roman"/>
          <w:sz w:val="24"/>
          <w:szCs w:val="24"/>
          <w:lang w:val="de-DE"/>
        </w:rPr>
        <w:t xml:space="preserve">Erweiterung der Liste </w:t>
      </w:r>
      <w:r w:rsidRPr="00C238D6">
        <w:rPr>
          <w:rFonts w:ascii="Garamond" w:hAnsi="Garamond" w:cs="Times New Roman"/>
          <w:sz w:val="24"/>
          <w:szCs w:val="24"/>
          <w:lang w:val="de-DE"/>
        </w:rPr>
        <w:t>verbotener Feuerwaffen</w:t>
      </w:r>
      <w:r>
        <w:rPr>
          <w:rFonts w:ascii="Garamond" w:hAnsi="Garamond" w:cs="Times New Roman"/>
          <w:sz w:val="24"/>
          <w:szCs w:val="24"/>
          <w:lang w:val="de-DE"/>
        </w:rPr>
        <w:t>;</w:t>
      </w:r>
      <w:r w:rsidR="00525AF4">
        <w:rPr>
          <w:rFonts w:ascii="Garamond" w:hAnsi="Garamond" w:cs="Times New Roman"/>
          <w:sz w:val="24"/>
          <w:szCs w:val="24"/>
          <w:lang w:val="de-DE"/>
        </w:rPr>
        <w:t xml:space="preserve"> dabei wird wohl vor allem auf halbautomatische Waffen abgezielt, wahrscheinlich gefolgt durch Handfeuerwaffen</w:t>
      </w:r>
      <w:r w:rsidRPr="00C238D6">
        <w:rPr>
          <w:rFonts w:ascii="Garamond" w:hAnsi="Garamond" w:cs="Times New Roman"/>
          <w:sz w:val="24"/>
          <w:szCs w:val="24"/>
          <w:lang w:val="de-DE"/>
        </w:rPr>
        <w:t xml:space="preserve"> und </w:t>
      </w:r>
      <w:r w:rsidR="00525AF4">
        <w:rPr>
          <w:rFonts w:ascii="Garamond" w:hAnsi="Garamond" w:cs="Times New Roman"/>
          <w:sz w:val="24"/>
          <w:szCs w:val="24"/>
          <w:lang w:val="de-DE"/>
        </w:rPr>
        <w:t>schließlich</w:t>
      </w:r>
      <w:r w:rsidRPr="00C238D6">
        <w:rPr>
          <w:rFonts w:ascii="Garamond" w:hAnsi="Garamond" w:cs="Times New Roman"/>
          <w:sz w:val="24"/>
          <w:szCs w:val="24"/>
          <w:lang w:val="de-DE"/>
        </w:rPr>
        <w:t xml:space="preserve"> halbautomatischen Gewehren</w:t>
      </w:r>
      <w:r w:rsidR="00525AF4">
        <w:rPr>
          <w:rFonts w:ascii="Garamond" w:hAnsi="Garamond" w:cs="Times New Roman"/>
          <w:sz w:val="24"/>
          <w:szCs w:val="24"/>
          <w:lang w:val="de-DE"/>
        </w:rPr>
        <w:t>;</w:t>
      </w:r>
    </w:p>
    <w:p w:rsidR="006E6ACA" w:rsidRDefault="00C238D6" w:rsidP="00964FCE">
      <w:pPr>
        <w:pStyle w:val="ListParagraph"/>
        <w:numPr>
          <w:ilvl w:val="0"/>
          <w:numId w:val="1"/>
        </w:numPr>
        <w:spacing w:after="0"/>
        <w:jc w:val="both"/>
        <w:rPr>
          <w:rFonts w:ascii="Garamond" w:hAnsi="Garamond" w:cs="Times New Roman"/>
          <w:sz w:val="24"/>
          <w:szCs w:val="24"/>
          <w:lang w:val="de-DE"/>
        </w:rPr>
      </w:pPr>
      <w:r w:rsidRPr="006E6ACA">
        <w:rPr>
          <w:rFonts w:ascii="Garamond" w:hAnsi="Garamond" w:cs="Times New Roman"/>
          <w:sz w:val="24"/>
          <w:szCs w:val="24"/>
          <w:lang w:val="de-DE"/>
        </w:rPr>
        <w:lastRenderedPageBreak/>
        <w:t xml:space="preserve">Streichung der Feuerwaffenkategorien C und D (in der aktuell die meisten Feuerwaffen aufgeführt sind), so dass alle Feuerwaffen (und ihre Munition) genehmigungspflichtig werden. </w:t>
      </w:r>
    </w:p>
    <w:p w:rsidR="00B232B2" w:rsidRPr="006E6ACA" w:rsidRDefault="0074257A" w:rsidP="00964FCE">
      <w:pPr>
        <w:pStyle w:val="ListParagraph"/>
        <w:numPr>
          <w:ilvl w:val="0"/>
          <w:numId w:val="1"/>
        </w:numPr>
        <w:spacing w:after="0"/>
        <w:jc w:val="both"/>
        <w:rPr>
          <w:rFonts w:ascii="Garamond" w:hAnsi="Garamond" w:cs="Times New Roman"/>
          <w:sz w:val="24"/>
          <w:szCs w:val="24"/>
          <w:lang w:val="de-DE"/>
        </w:rPr>
      </w:pPr>
      <w:r w:rsidRPr="006E6ACA">
        <w:rPr>
          <w:rFonts w:ascii="Garamond" w:hAnsi="Garamond" w:cs="Times New Roman"/>
          <w:sz w:val="24"/>
          <w:szCs w:val="24"/>
          <w:lang w:val="de-DE"/>
        </w:rPr>
        <w:t>o</w:t>
      </w:r>
      <w:r w:rsidR="00C238D6" w:rsidRPr="006E6ACA">
        <w:rPr>
          <w:rFonts w:ascii="Garamond" w:hAnsi="Garamond" w:cs="Times New Roman"/>
          <w:sz w:val="24"/>
          <w:szCs w:val="24"/>
          <w:lang w:val="de-DE"/>
        </w:rPr>
        <w:t>bligatorische</w:t>
      </w:r>
      <w:r w:rsidR="00B232B2" w:rsidRPr="006E6ACA">
        <w:rPr>
          <w:rFonts w:ascii="Garamond" w:hAnsi="Garamond" w:cs="Times New Roman"/>
          <w:sz w:val="24"/>
          <w:szCs w:val="24"/>
          <w:lang w:val="de-DE"/>
        </w:rPr>
        <w:t xml:space="preserve"> </w:t>
      </w:r>
      <w:r w:rsidR="00525AF4" w:rsidRPr="006E6ACA">
        <w:rPr>
          <w:rFonts w:ascii="Garamond" w:hAnsi="Garamond" w:cs="Times New Roman"/>
          <w:sz w:val="24"/>
          <w:szCs w:val="24"/>
          <w:lang w:val="de-DE"/>
        </w:rPr>
        <w:t>psychische Gesundheitstests;</w:t>
      </w:r>
    </w:p>
    <w:p w:rsidR="00B232B2" w:rsidRDefault="00B232B2" w:rsidP="00964FCE">
      <w:pPr>
        <w:pStyle w:val="ListParagraph"/>
        <w:numPr>
          <w:ilvl w:val="0"/>
          <w:numId w:val="1"/>
        </w:numPr>
        <w:spacing w:after="0"/>
        <w:jc w:val="both"/>
        <w:rPr>
          <w:rFonts w:ascii="Garamond" w:hAnsi="Garamond" w:cs="Times New Roman"/>
          <w:sz w:val="24"/>
          <w:szCs w:val="24"/>
          <w:lang w:val="de-DE"/>
        </w:rPr>
      </w:pPr>
      <w:r w:rsidRPr="00B232B2">
        <w:rPr>
          <w:rFonts w:ascii="Garamond" w:hAnsi="Garamond" w:cs="Times New Roman"/>
          <w:sz w:val="24"/>
          <w:szCs w:val="24"/>
          <w:lang w:val="de-DE"/>
        </w:rPr>
        <w:t xml:space="preserve">Abschaffung, oder zumindest Verschärfung der derzeitigen Ausnahmeregelung, </w:t>
      </w:r>
      <w:r>
        <w:rPr>
          <w:rFonts w:ascii="Garamond" w:hAnsi="Garamond" w:cs="Times New Roman"/>
          <w:sz w:val="24"/>
          <w:szCs w:val="24"/>
          <w:lang w:val="de-DE"/>
        </w:rPr>
        <w:t>nach der unter Achtzehnjährigen die Jagd und das Sportschießen mit elterlicher Zustimmung bzw. Aufsicht erlaubt sind</w:t>
      </w:r>
      <w:r w:rsidR="00525AF4">
        <w:rPr>
          <w:rFonts w:ascii="Garamond" w:hAnsi="Garamond" w:cs="Times New Roman"/>
          <w:sz w:val="24"/>
          <w:szCs w:val="24"/>
          <w:lang w:val="de-DE"/>
        </w:rPr>
        <w:t>;</w:t>
      </w:r>
      <w:r>
        <w:rPr>
          <w:rFonts w:ascii="Garamond" w:hAnsi="Garamond" w:cs="Times New Roman"/>
          <w:sz w:val="24"/>
          <w:szCs w:val="24"/>
          <w:lang w:val="de-DE"/>
        </w:rPr>
        <w:t xml:space="preserve"> </w:t>
      </w:r>
    </w:p>
    <w:p w:rsidR="00B232B2" w:rsidRPr="00B232B2" w:rsidRDefault="0074257A" w:rsidP="00964FCE">
      <w:pPr>
        <w:pStyle w:val="ListParagraph"/>
        <w:numPr>
          <w:ilvl w:val="0"/>
          <w:numId w:val="1"/>
        </w:numPr>
        <w:spacing w:after="0"/>
        <w:jc w:val="both"/>
        <w:rPr>
          <w:rFonts w:ascii="Garamond" w:hAnsi="Garamond" w:cs="Times New Roman"/>
          <w:sz w:val="24"/>
          <w:szCs w:val="24"/>
          <w:lang w:val="de-DE"/>
        </w:rPr>
      </w:pPr>
      <w:r>
        <w:rPr>
          <w:rFonts w:ascii="Garamond" w:hAnsi="Garamond" w:cs="Times New Roman"/>
          <w:sz w:val="24"/>
          <w:szCs w:val="24"/>
          <w:lang w:val="de-DE"/>
        </w:rPr>
        <w:t>a</w:t>
      </w:r>
      <w:r w:rsidR="00B232B2" w:rsidRPr="00B232B2">
        <w:rPr>
          <w:rFonts w:ascii="Garamond" w:hAnsi="Garamond" w:cs="Times New Roman"/>
          <w:sz w:val="24"/>
          <w:szCs w:val="24"/>
          <w:lang w:val="de-DE"/>
        </w:rPr>
        <w:t>llgemeine Verpflichtung für die Aufbewahrung von Feuerwaffen in einem dafür zugelassenen Safe</w:t>
      </w:r>
      <w:r>
        <w:rPr>
          <w:rFonts w:ascii="Garamond" w:hAnsi="Garamond" w:cs="Times New Roman"/>
          <w:sz w:val="24"/>
          <w:szCs w:val="24"/>
          <w:lang w:val="de-DE"/>
        </w:rPr>
        <w:t>;</w:t>
      </w:r>
      <w:r w:rsidR="00B232B2" w:rsidRPr="00B232B2">
        <w:rPr>
          <w:rFonts w:ascii="Garamond" w:hAnsi="Garamond" w:cs="Times New Roman"/>
          <w:sz w:val="24"/>
          <w:szCs w:val="24"/>
          <w:lang w:val="de-DE"/>
        </w:rPr>
        <w:t xml:space="preserve"> </w:t>
      </w:r>
    </w:p>
    <w:p w:rsidR="00B232B2" w:rsidRPr="00B232B2" w:rsidRDefault="0074257A" w:rsidP="00964FCE">
      <w:pPr>
        <w:pStyle w:val="ListParagraph"/>
        <w:numPr>
          <w:ilvl w:val="0"/>
          <w:numId w:val="1"/>
        </w:numPr>
        <w:spacing w:after="0"/>
        <w:jc w:val="both"/>
        <w:rPr>
          <w:rFonts w:ascii="Garamond" w:hAnsi="Garamond" w:cs="Times New Roman"/>
          <w:sz w:val="24"/>
          <w:szCs w:val="24"/>
          <w:lang w:val="de-DE"/>
        </w:rPr>
      </w:pPr>
      <w:r>
        <w:rPr>
          <w:rFonts w:ascii="Garamond" w:hAnsi="Garamond" w:cs="Times New Roman"/>
          <w:sz w:val="24"/>
          <w:szCs w:val="24"/>
          <w:lang w:val="de-DE"/>
        </w:rPr>
        <w:t>o</w:t>
      </w:r>
      <w:r w:rsidR="00B232B2" w:rsidRPr="00B232B2">
        <w:rPr>
          <w:rFonts w:ascii="Garamond" w:hAnsi="Garamond" w:cs="Times New Roman"/>
          <w:sz w:val="24"/>
          <w:szCs w:val="24"/>
          <w:lang w:val="de-DE"/>
        </w:rPr>
        <w:t>bligatorische Verwendung von Schließvo</w:t>
      </w:r>
      <w:r w:rsidR="00ED6050">
        <w:rPr>
          <w:rFonts w:ascii="Garamond" w:hAnsi="Garamond" w:cs="Times New Roman"/>
          <w:sz w:val="24"/>
          <w:szCs w:val="24"/>
          <w:lang w:val="de-DE"/>
        </w:rPr>
        <w:t>rrichtungen zwecks Vermeidung unbefugter Verwendungen, entweder integriert in den Mechanismus der Waffe selbst oder als zusätzliche Vorrichtung (z.B. als Abzugsverriegelung)</w:t>
      </w:r>
      <w:r>
        <w:rPr>
          <w:rFonts w:ascii="Garamond" w:hAnsi="Garamond" w:cs="Times New Roman"/>
          <w:sz w:val="24"/>
          <w:szCs w:val="24"/>
          <w:lang w:val="de-DE"/>
        </w:rPr>
        <w:t>;</w:t>
      </w:r>
      <w:r w:rsidR="00ED6050">
        <w:rPr>
          <w:rFonts w:ascii="Garamond" w:hAnsi="Garamond" w:cs="Times New Roman"/>
          <w:sz w:val="24"/>
          <w:szCs w:val="24"/>
          <w:lang w:val="de-DE"/>
        </w:rPr>
        <w:t xml:space="preserve"> </w:t>
      </w:r>
    </w:p>
    <w:p w:rsidR="00ED6050" w:rsidRPr="00ED6050" w:rsidRDefault="0074257A" w:rsidP="00964FCE">
      <w:pPr>
        <w:pStyle w:val="ListParagraph"/>
        <w:numPr>
          <w:ilvl w:val="0"/>
          <w:numId w:val="1"/>
        </w:numPr>
        <w:spacing w:after="0"/>
        <w:jc w:val="both"/>
        <w:rPr>
          <w:rFonts w:ascii="Garamond" w:hAnsi="Garamond" w:cs="Times New Roman"/>
          <w:sz w:val="24"/>
          <w:szCs w:val="24"/>
          <w:lang w:val="de-DE"/>
        </w:rPr>
      </w:pPr>
      <w:r>
        <w:rPr>
          <w:rFonts w:ascii="Garamond" w:hAnsi="Garamond" w:cs="Times New Roman"/>
          <w:sz w:val="24"/>
          <w:szCs w:val="24"/>
          <w:lang w:val="de-DE"/>
        </w:rPr>
        <w:t>s</w:t>
      </w:r>
      <w:r w:rsidR="00ED6050" w:rsidRPr="00ED6050">
        <w:rPr>
          <w:rFonts w:ascii="Garamond" w:hAnsi="Garamond" w:cs="Times New Roman"/>
          <w:sz w:val="24"/>
          <w:szCs w:val="24"/>
          <w:lang w:val="de-DE"/>
        </w:rPr>
        <w:t xml:space="preserve">onstige Einschränkungen mit Auswirkungen für die legale Herstellung und den Handel mit Feuerwaffen. </w:t>
      </w:r>
    </w:p>
    <w:p w:rsidR="0074257A" w:rsidRPr="00755A7D" w:rsidRDefault="0074257A" w:rsidP="008A4834">
      <w:pPr>
        <w:spacing w:after="0"/>
        <w:jc w:val="both"/>
        <w:rPr>
          <w:rFonts w:ascii="extravaganzza" w:hAnsi="extravaganzza" w:cs="Times New Roman"/>
          <w:sz w:val="24"/>
          <w:szCs w:val="24"/>
          <w:lang w:val="de-AT"/>
        </w:rPr>
      </w:pPr>
    </w:p>
    <w:p w:rsidR="008A4834" w:rsidRPr="00755A7D" w:rsidRDefault="00ED6050" w:rsidP="008A4834">
      <w:pPr>
        <w:spacing w:after="0"/>
        <w:jc w:val="both"/>
        <w:rPr>
          <w:rFonts w:ascii="extravaganzza" w:hAnsi="extravaganzza" w:cs="Times New Roman"/>
          <w:sz w:val="24"/>
          <w:szCs w:val="24"/>
          <w:lang w:val="de-AT"/>
        </w:rPr>
      </w:pPr>
      <w:r w:rsidRPr="00755A7D">
        <w:rPr>
          <w:rFonts w:ascii="extravaganzza" w:hAnsi="extravaganzza" w:cs="Times New Roman"/>
          <w:sz w:val="24"/>
          <w:szCs w:val="24"/>
          <w:lang w:val="de-AT"/>
        </w:rPr>
        <w:t>DIE PERSPEKTIVEN</w:t>
      </w:r>
    </w:p>
    <w:p w:rsidR="008A4834" w:rsidRPr="00755A7D" w:rsidRDefault="008A4834" w:rsidP="008A4834">
      <w:pPr>
        <w:spacing w:after="0"/>
        <w:jc w:val="both"/>
        <w:rPr>
          <w:rFonts w:ascii="Garamond" w:hAnsi="Garamond" w:cs="Times New Roman"/>
          <w:sz w:val="24"/>
          <w:szCs w:val="24"/>
          <w:lang w:val="de-AT"/>
        </w:rPr>
      </w:pPr>
    </w:p>
    <w:p w:rsidR="008A4834" w:rsidRDefault="00ED6050" w:rsidP="008A4834">
      <w:pPr>
        <w:spacing w:after="0"/>
        <w:jc w:val="both"/>
        <w:rPr>
          <w:rFonts w:ascii="Garamond" w:hAnsi="Garamond" w:cs="Times New Roman"/>
          <w:sz w:val="24"/>
          <w:szCs w:val="24"/>
          <w:lang w:val="de-DE"/>
        </w:rPr>
      </w:pPr>
      <w:r w:rsidRPr="00ED6050">
        <w:rPr>
          <w:rFonts w:ascii="Garamond" w:hAnsi="Garamond" w:cs="Times New Roman"/>
          <w:sz w:val="24"/>
          <w:szCs w:val="24"/>
          <w:lang w:val="de-DE"/>
        </w:rPr>
        <w:t>Der Wortlaut der Richtlinie verpflichtet die Kommission dazu, bis Juli 2015 einen “</w:t>
      </w:r>
      <w:r w:rsidRPr="00ED6050">
        <w:rPr>
          <w:rFonts w:ascii="Garamond" w:hAnsi="Garamond" w:cs="Times New Roman"/>
          <w:i/>
          <w:sz w:val="24"/>
          <w:szCs w:val="24"/>
          <w:lang w:val="de-DE"/>
        </w:rPr>
        <w:t>gegebenenfalls mit Vorschlägen zu versehenen</w:t>
      </w:r>
      <w:r w:rsidRPr="00ED6050">
        <w:rPr>
          <w:rFonts w:ascii="Garamond" w:hAnsi="Garamond" w:cs="Times New Roman"/>
          <w:sz w:val="24"/>
          <w:szCs w:val="24"/>
          <w:lang w:val="de-DE"/>
        </w:rPr>
        <w:t xml:space="preserve">” Bericht über die Anwendung der Richtlinie vorzulegen. </w:t>
      </w:r>
      <w:r w:rsidR="006E6ACA">
        <w:rPr>
          <w:rFonts w:ascii="Garamond" w:hAnsi="Garamond" w:cs="Times New Roman"/>
          <w:sz w:val="24"/>
          <w:szCs w:val="24"/>
          <w:lang w:val="de-DE"/>
        </w:rPr>
        <w:t>Die Kommission will</w:t>
      </w:r>
      <w:r>
        <w:rPr>
          <w:rFonts w:ascii="Garamond" w:hAnsi="Garamond" w:cs="Times New Roman"/>
          <w:sz w:val="24"/>
          <w:szCs w:val="24"/>
          <w:lang w:val="de-DE"/>
        </w:rPr>
        <w:t xml:space="preserve"> in 2014 eine Konsultation über die Wirksamkeit der Richtlinie sowie der Sinnhaftigkeit oder Sinnlosigkeit ihrer etwaigen Änderung einleiten und eine Folgenabschätzung zu den Konsequenzen einer möglichen Änderung der Richtlinie durchführen.</w:t>
      </w:r>
      <w:r w:rsidR="002B1700">
        <w:rPr>
          <w:rFonts w:ascii="Garamond" w:hAnsi="Garamond" w:cs="Times New Roman"/>
          <w:sz w:val="24"/>
          <w:szCs w:val="24"/>
          <w:lang w:val="de-DE"/>
        </w:rPr>
        <w:t xml:space="preserve"> Die </w:t>
      </w:r>
      <w:r w:rsidR="006E6ACA">
        <w:rPr>
          <w:rFonts w:ascii="Garamond" w:hAnsi="Garamond" w:cs="Times New Roman"/>
          <w:sz w:val="24"/>
          <w:szCs w:val="24"/>
          <w:lang w:val="de-DE"/>
        </w:rPr>
        <w:t>Kommission</w:t>
      </w:r>
      <w:r w:rsidR="002B1700">
        <w:rPr>
          <w:rFonts w:ascii="Garamond" w:hAnsi="Garamond" w:cs="Times New Roman"/>
          <w:sz w:val="24"/>
          <w:szCs w:val="24"/>
          <w:lang w:val="de-DE"/>
        </w:rPr>
        <w:t xml:space="preserve"> muss dann entscheiden, ob sie initiativ werden muss, etwa in Form einer Gesetzgebungsänderung oder </w:t>
      </w:r>
      <w:r w:rsidR="003A13FB">
        <w:rPr>
          <w:rFonts w:ascii="Garamond" w:hAnsi="Garamond" w:cs="Times New Roman"/>
          <w:sz w:val="24"/>
          <w:szCs w:val="24"/>
          <w:lang w:val="de-DE"/>
        </w:rPr>
        <w:t xml:space="preserve">über die </w:t>
      </w:r>
      <w:r w:rsidR="002B1700">
        <w:rPr>
          <w:rFonts w:ascii="Garamond" w:hAnsi="Garamond" w:cs="Times New Roman"/>
          <w:sz w:val="24"/>
          <w:szCs w:val="24"/>
          <w:lang w:val="de-DE"/>
        </w:rPr>
        <w:t xml:space="preserve">Ausgabe entsprechender Leitlinien. </w:t>
      </w:r>
    </w:p>
    <w:p w:rsidR="006E6ACA" w:rsidRPr="00ED6050" w:rsidRDefault="006E6ACA" w:rsidP="008A4834">
      <w:pPr>
        <w:spacing w:after="0"/>
        <w:jc w:val="both"/>
        <w:rPr>
          <w:rFonts w:ascii="Garamond" w:hAnsi="Garamond" w:cs="Times New Roman"/>
          <w:sz w:val="24"/>
          <w:szCs w:val="24"/>
          <w:lang w:val="de-DE"/>
        </w:rPr>
      </w:pPr>
    </w:p>
    <w:p w:rsidR="00253FAF" w:rsidRPr="00253FAF" w:rsidRDefault="00253FAF" w:rsidP="008A4834">
      <w:pPr>
        <w:spacing w:after="0"/>
        <w:jc w:val="both"/>
        <w:rPr>
          <w:rFonts w:ascii="Garamond" w:hAnsi="Garamond" w:cs="Times New Roman"/>
          <w:sz w:val="24"/>
          <w:szCs w:val="24"/>
          <w:lang w:val="de-DE"/>
        </w:rPr>
      </w:pPr>
      <w:r w:rsidRPr="00253FAF">
        <w:rPr>
          <w:rFonts w:ascii="Garamond" w:hAnsi="Garamond" w:cs="Times New Roman"/>
          <w:sz w:val="24"/>
          <w:szCs w:val="24"/>
          <w:lang w:val="de-DE"/>
        </w:rPr>
        <w:t xml:space="preserve">Zu </w:t>
      </w:r>
      <w:r>
        <w:rPr>
          <w:rFonts w:ascii="Garamond" w:hAnsi="Garamond" w:cs="Times New Roman"/>
          <w:sz w:val="24"/>
          <w:szCs w:val="24"/>
          <w:lang w:val="de-DE"/>
        </w:rPr>
        <w:t>b</w:t>
      </w:r>
      <w:r w:rsidRPr="00253FAF">
        <w:rPr>
          <w:rFonts w:ascii="Garamond" w:hAnsi="Garamond" w:cs="Times New Roman"/>
          <w:sz w:val="24"/>
          <w:szCs w:val="24"/>
          <w:lang w:val="de-DE"/>
        </w:rPr>
        <w:t xml:space="preserve">erücksichtigen ist ebenfalls, dass die Amtszeit der Kommission Mitte 2014 ausläuft und sich die politische Situation danach komplett ändern kann. </w:t>
      </w:r>
    </w:p>
    <w:p w:rsidR="0074257A" w:rsidRDefault="0074257A" w:rsidP="008A4834">
      <w:pPr>
        <w:spacing w:after="0"/>
        <w:jc w:val="both"/>
        <w:rPr>
          <w:rFonts w:ascii="Garamond" w:hAnsi="Garamond" w:cs="Times New Roman"/>
          <w:sz w:val="24"/>
          <w:szCs w:val="24"/>
          <w:lang w:val="de-DE"/>
        </w:rPr>
      </w:pPr>
    </w:p>
    <w:p w:rsidR="00832019" w:rsidRDefault="00253FAF" w:rsidP="008A4834">
      <w:pPr>
        <w:spacing w:after="0"/>
        <w:jc w:val="both"/>
        <w:rPr>
          <w:rFonts w:ascii="Garamond" w:hAnsi="Garamond" w:cs="Times New Roman"/>
          <w:sz w:val="24"/>
          <w:szCs w:val="24"/>
          <w:lang w:val="de-DE"/>
        </w:rPr>
      </w:pPr>
      <w:r w:rsidRPr="00253FAF">
        <w:rPr>
          <w:rFonts w:ascii="Garamond" w:hAnsi="Garamond" w:cs="Times New Roman"/>
          <w:sz w:val="24"/>
          <w:szCs w:val="24"/>
          <w:lang w:val="de-DE"/>
        </w:rPr>
        <w:t xml:space="preserve">FACE </w:t>
      </w:r>
      <w:r>
        <w:rPr>
          <w:rFonts w:ascii="Garamond" w:hAnsi="Garamond" w:cs="Times New Roman"/>
          <w:sz w:val="24"/>
          <w:szCs w:val="24"/>
          <w:lang w:val="de-DE"/>
        </w:rPr>
        <w:t xml:space="preserve">ist </w:t>
      </w:r>
      <w:r w:rsidR="00841CD4">
        <w:rPr>
          <w:rFonts w:ascii="Garamond" w:hAnsi="Garamond" w:cs="Times New Roman"/>
          <w:sz w:val="24"/>
          <w:szCs w:val="24"/>
          <w:lang w:val="de-DE"/>
        </w:rPr>
        <w:t xml:space="preserve">über </w:t>
      </w:r>
      <w:r w:rsidRPr="00253FAF">
        <w:rPr>
          <w:rFonts w:ascii="Garamond" w:hAnsi="Garamond" w:cs="Times New Roman"/>
          <w:sz w:val="24"/>
          <w:szCs w:val="24"/>
          <w:lang w:val="de-DE"/>
        </w:rPr>
        <w:t xml:space="preserve">die </w:t>
      </w:r>
      <w:r>
        <w:rPr>
          <w:rFonts w:ascii="Garamond" w:hAnsi="Garamond" w:cs="Times New Roman"/>
          <w:sz w:val="24"/>
          <w:szCs w:val="24"/>
          <w:lang w:val="de-DE"/>
        </w:rPr>
        <w:t>A</w:t>
      </w:r>
      <w:r w:rsidR="006E6ACA">
        <w:rPr>
          <w:rFonts w:ascii="Garamond" w:hAnsi="Garamond" w:cs="Times New Roman"/>
          <w:sz w:val="24"/>
          <w:szCs w:val="24"/>
          <w:lang w:val="de-DE"/>
        </w:rPr>
        <w:t>nzahl</w:t>
      </w:r>
      <w:r>
        <w:rPr>
          <w:rFonts w:ascii="Garamond" w:hAnsi="Garamond" w:cs="Times New Roman"/>
          <w:sz w:val="24"/>
          <w:szCs w:val="24"/>
          <w:lang w:val="de-DE"/>
        </w:rPr>
        <w:t xml:space="preserve"> der von der GD HOME und Kommissarin Malmström ersonnen </w:t>
      </w:r>
      <w:r w:rsidR="006E6ACA">
        <w:rPr>
          <w:rFonts w:ascii="Garamond" w:hAnsi="Garamond" w:cs="Times New Roman"/>
          <w:sz w:val="24"/>
          <w:szCs w:val="24"/>
          <w:lang w:val="de-DE"/>
        </w:rPr>
        <w:t xml:space="preserve">ungerechtfertigten </w:t>
      </w:r>
      <w:r>
        <w:rPr>
          <w:rFonts w:ascii="Garamond" w:hAnsi="Garamond" w:cs="Times New Roman"/>
          <w:sz w:val="24"/>
          <w:szCs w:val="24"/>
          <w:lang w:val="de-DE"/>
        </w:rPr>
        <w:t>Beschränkungen</w:t>
      </w:r>
      <w:r w:rsidR="006E6ACA">
        <w:rPr>
          <w:rFonts w:ascii="Garamond" w:hAnsi="Garamond" w:cs="Times New Roman"/>
          <w:sz w:val="24"/>
          <w:szCs w:val="24"/>
          <w:lang w:val="de-DE"/>
        </w:rPr>
        <w:t xml:space="preserve"> besorgt</w:t>
      </w:r>
      <w:r>
        <w:rPr>
          <w:rFonts w:ascii="Garamond" w:hAnsi="Garamond" w:cs="Times New Roman"/>
          <w:sz w:val="24"/>
          <w:szCs w:val="24"/>
          <w:lang w:val="de-DE"/>
        </w:rPr>
        <w:t xml:space="preserve">, </w:t>
      </w:r>
      <w:r w:rsidR="006E6ACA">
        <w:rPr>
          <w:rFonts w:ascii="Garamond" w:hAnsi="Garamond" w:cs="Times New Roman"/>
          <w:sz w:val="24"/>
          <w:szCs w:val="24"/>
          <w:lang w:val="de-DE"/>
        </w:rPr>
        <w:t xml:space="preserve">die einen Entwurf zur </w:t>
      </w:r>
      <w:r w:rsidR="00841CD4">
        <w:rPr>
          <w:rFonts w:ascii="Garamond" w:hAnsi="Garamond" w:cs="Times New Roman"/>
          <w:sz w:val="24"/>
          <w:szCs w:val="24"/>
          <w:lang w:val="de-DE"/>
        </w:rPr>
        <w:t>Überarbeitung der Richtlinie</w:t>
      </w:r>
      <w:r w:rsidR="006E6ACA">
        <w:rPr>
          <w:rFonts w:ascii="Garamond" w:hAnsi="Garamond" w:cs="Times New Roman"/>
          <w:sz w:val="24"/>
          <w:szCs w:val="24"/>
          <w:lang w:val="de-DE"/>
        </w:rPr>
        <w:t xml:space="preserve"> voranbringen könnten</w:t>
      </w:r>
      <w:r w:rsidR="00841CD4">
        <w:rPr>
          <w:rFonts w:ascii="Garamond" w:hAnsi="Garamond" w:cs="Times New Roman"/>
          <w:sz w:val="24"/>
          <w:szCs w:val="24"/>
          <w:lang w:val="de-DE"/>
        </w:rPr>
        <w:t xml:space="preserve">. </w:t>
      </w:r>
    </w:p>
    <w:p w:rsidR="006E6ACA" w:rsidRPr="004679B4" w:rsidRDefault="006E6ACA" w:rsidP="008A4834">
      <w:pPr>
        <w:spacing w:after="0"/>
        <w:jc w:val="both"/>
        <w:rPr>
          <w:rFonts w:ascii="Garamond" w:hAnsi="Garamond" w:cs="Times New Roman"/>
          <w:sz w:val="24"/>
          <w:szCs w:val="24"/>
          <w:lang w:val="de-DE"/>
        </w:rPr>
      </w:pPr>
    </w:p>
    <w:p w:rsidR="00841CD4" w:rsidRDefault="00841CD4" w:rsidP="008A4834">
      <w:pPr>
        <w:spacing w:after="0"/>
        <w:jc w:val="both"/>
        <w:rPr>
          <w:rFonts w:ascii="Garamond" w:hAnsi="Garamond" w:cs="Times New Roman"/>
          <w:sz w:val="24"/>
          <w:szCs w:val="24"/>
          <w:lang w:val="de-DE"/>
        </w:rPr>
      </w:pPr>
      <w:r>
        <w:rPr>
          <w:rFonts w:ascii="Garamond" w:hAnsi="Garamond" w:cs="Times New Roman"/>
          <w:sz w:val="24"/>
          <w:szCs w:val="24"/>
          <w:lang w:val="de-DE"/>
        </w:rPr>
        <w:t>FACE</w:t>
      </w:r>
      <w:r w:rsidR="006E6ACA">
        <w:rPr>
          <w:rFonts w:ascii="Garamond" w:hAnsi="Garamond" w:cs="Times New Roman"/>
          <w:sz w:val="24"/>
          <w:szCs w:val="24"/>
          <w:lang w:val="de-DE"/>
        </w:rPr>
        <w:t xml:space="preserve"> beobachtet diese Entwicklungen genau – unter Einbeziehung von Kommission und Jägern</w:t>
      </w:r>
      <w:r w:rsidR="006E6ACA" w:rsidRPr="006E6ACA">
        <w:rPr>
          <w:rFonts w:ascii="Garamond" w:hAnsi="Garamond" w:cs="Times New Roman"/>
          <w:sz w:val="24"/>
          <w:szCs w:val="24"/>
          <w:lang w:val="de-DE"/>
        </w:rPr>
        <w:t xml:space="preserve"> </w:t>
      </w:r>
      <w:r w:rsidR="006E6ACA">
        <w:rPr>
          <w:rFonts w:ascii="Garamond" w:hAnsi="Garamond" w:cs="Times New Roman"/>
          <w:sz w:val="24"/>
          <w:szCs w:val="24"/>
          <w:lang w:val="de-DE"/>
        </w:rPr>
        <w:t>und</w:t>
      </w:r>
      <w:r w:rsidR="00E04247">
        <w:rPr>
          <w:rFonts w:ascii="Garamond" w:hAnsi="Garamond" w:cs="Times New Roman"/>
          <w:sz w:val="24"/>
          <w:szCs w:val="24"/>
          <w:lang w:val="de-DE"/>
        </w:rPr>
        <w:t>,</w:t>
      </w:r>
      <w:r w:rsidR="006E6ACA">
        <w:rPr>
          <w:rFonts w:ascii="Garamond" w:hAnsi="Garamond" w:cs="Times New Roman"/>
          <w:sz w:val="24"/>
          <w:szCs w:val="24"/>
          <w:lang w:val="de-DE"/>
        </w:rPr>
        <w:t xml:space="preserve"> wenn sinnvoll auch durch Kontakt mit </w:t>
      </w:r>
      <w:r>
        <w:rPr>
          <w:rFonts w:ascii="Garamond" w:hAnsi="Garamond" w:cs="Times New Roman"/>
          <w:sz w:val="24"/>
          <w:szCs w:val="24"/>
          <w:lang w:val="de-DE"/>
        </w:rPr>
        <w:t xml:space="preserve">anderen Interessengruppen, vor allem der Industrie (sowohl Hersteller als auch Händler), sowie Sammlern und Sportschützen. </w:t>
      </w:r>
    </w:p>
    <w:p w:rsidR="00E04247" w:rsidRDefault="00E04247" w:rsidP="008A4834">
      <w:pPr>
        <w:spacing w:after="0"/>
        <w:jc w:val="both"/>
        <w:rPr>
          <w:rFonts w:ascii="Garamond" w:hAnsi="Garamond" w:cs="Times New Roman"/>
          <w:sz w:val="24"/>
          <w:szCs w:val="24"/>
          <w:lang w:val="de-DE"/>
        </w:rPr>
      </w:pPr>
    </w:p>
    <w:p w:rsidR="00E04247" w:rsidRPr="00841CD4" w:rsidRDefault="00E04247" w:rsidP="008A4834">
      <w:pPr>
        <w:spacing w:after="0"/>
        <w:jc w:val="both"/>
        <w:rPr>
          <w:rFonts w:ascii="Garamond" w:hAnsi="Garamond" w:cs="Times New Roman"/>
          <w:sz w:val="24"/>
          <w:szCs w:val="24"/>
          <w:lang w:val="de-DE"/>
        </w:rPr>
      </w:pPr>
      <w:r w:rsidRPr="00342574">
        <w:rPr>
          <w:rFonts w:ascii="Garamond" w:hAnsi="Garamond" w:cs="Times New Roman"/>
          <w:b/>
          <w:sz w:val="24"/>
          <w:szCs w:val="24"/>
          <w:lang w:val="de-DE"/>
        </w:rPr>
        <w:t>Haben Sie Fragen?</w:t>
      </w:r>
      <w:r>
        <w:rPr>
          <w:rFonts w:ascii="Garamond" w:hAnsi="Garamond" w:cs="Times New Roman"/>
          <w:sz w:val="24"/>
          <w:szCs w:val="24"/>
          <w:lang w:val="de-DE"/>
        </w:rPr>
        <w:t xml:space="preserve"> Wenn Sie mehr Information hierzu wünschen, kontaktieren Sie uns unter </w:t>
      </w:r>
      <w:hyperlink r:id="rId8" w:history="1">
        <w:r w:rsidRPr="00A21AD4">
          <w:rPr>
            <w:rStyle w:val="Hyperlink"/>
            <w:rFonts w:ascii="Garamond" w:hAnsi="Garamond" w:cs="Times New Roman"/>
            <w:sz w:val="24"/>
            <w:szCs w:val="24"/>
            <w:lang w:val="de-DE"/>
          </w:rPr>
          <w:t>info@face.eu</w:t>
        </w:r>
      </w:hyperlink>
      <w:r>
        <w:rPr>
          <w:rFonts w:ascii="Garamond" w:hAnsi="Garamond" w:cs="Times New Roman"/>
          <w:sz w:val="24"/>
          <w:szCs w:val="24"/>
          <w:lang w:val="de-DE"/>
        </w:rPr>
        <w:t xml:space="preserve">. </w:t>
      </w:r>
    </w:p>
    <w:sectPr w:rsidR="00E04247" w:rsidRPr="00841CD4" w:rsidSect="00D21E57">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574" w:rsidRDefault="00342574" w:rsidP="00342574">
      <w:pPr>
        <w:spacing w:after="0" w:line="240" w:lineRule="auto"/>
      </w:pPr>
      <w:r>
        <w:separator/>
      </w:r>
    </w:p>
  </w:endnote>
  <w:endnote w:type="continuationSeparator" w:id="0">
    <w:p w:rsidR="00342574" w:rsidRDefault="00342574" w:rsidP="003425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extravaganzza">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3062925"/>
      <w:docPartObj>
        <w:docPartGallery w:val="Page Numbers (Bottom of Page)"/>
        <w:docPartUnique/>
      </w:docPartObj>
    </w:sdtPr>
    <w:sdtContent>
      <w:p w:rsidR="003760C6" w:rsidRDefault="003760C6">
        <w:pPr>
          <w:pStyle w:val="Footer"/>
          <w:jc w:val="right"/>
        </w:pPr>
        <w:fldSimple w:instr=" PAGE   \* MERGEFORMAT ">
          <w:r>
            <w:rPr>
              <w:noProof/>
            </w:rPr>
            <w:t>3</w:t>
          </w:r>
        </w:fldSimple>
      </w:p>
      <w:p w:rsidR="003760C6" w:rsidRDefault="003760C6" w:rsidP="003760C6">
        <w:pPr>
          <w:pStyle w:val="Footer"/>
          <w:jc w:val="center"/>
        </w:pPr>
        <w:r w:rsidRPr="003760C6">
          <w:drawing>
            <wp:inline distT="0" distB="0" distL="0" distR="0">
              <wp:extent cx="504825" cy="419609"/>
              <wp:effectExtent l="19050" t="0" r="9525" b="0"/>
              <wp:docPr id="5" name="Picture 0"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504825" cy="419609"/>
                      </a:xfrm>
                      <a:prstGeom prst="rect">
                        <a:avLst/>
                      </a:prstGeom>
                    </pic:spPr>
                  </pic:pic>
                </a:graphicData>
              </a:graphic>
            </wp:inline>
          </w:drawing>
        </w:r>
      </w:p>
      <w:p w:rsidR="003760C6" w:rsidRDefault="003760C6">
        <w:pPr>
          <w:pStyle w:val="Footer"/>
          <w:jc w:val="right"/>
        </w:pPr>
        <w:r>
          <w:rPr>
            <w:noProof/>
            <w:lang w:val="en-GB" w:eastAsia="en-GB"/>
          </w:rPr>
          <w:drawing>
            <wp:inline distT="0" distB="0" distL="0" distR="0">
              <wp:extent cx="5943600" cy="4940300"/>
              <wp:effectExtent l="0" t="0" r="0" b="0"/>
              <wp:docPr id="4" name="Picture 3"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5943600" cy="4940300"/>
                      </a:xfrm>
                      <a:prstGeom prst="rect">
                        <a:avLst/>
                      </a:prstGeom>
                    </pic:spPr>
                  </pic:pic>
                </a:graphicData>
              </a:graphic>
            </wp:inline>
          </w:drawing>
        </w:r>
      </w:p>
      <w:p w:rsidR="003760C6" w:rsidRDefault="003760C6" w:rsidP="003760C6">
        <w:pPr>
          <w:pStyle w:val="Footer"/>
          <w:jc w:val="center"/>
        </w:pPr>
        <w:r>
          <w:rPr>
            <w:noProof/>
            <w:lang w:val="en-GB" w:eastAsia="en-GB"/>
          </w:rPr>
          <w:drawing>
            <wp:inline distT="0" distB="0" distL="0" distR="0">
              <wp:extent cx="5943600" cy="4940300"/>
              <wp:effectExtent l="0" t="0" r="0" b="0"/>
              <wp:docPr id="3" name="Picture 2"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5943600" cy="4940300"/>
                      </a:xfrm>
                      <a:prstGeom prst="rect">
                        <a:avLst/>
                      </a:prstGeom>
                    </pic:spPr>
                  </pic:pic>
                </a:graphicData>
              </a:graphic>
            </wp:inline>
          </w:drawing>
        </w:r>
      </w:p>
      <w:p w:rsidR="003760C6" w:rsidRDefault="003760C6">
        <w:pPr>
          <w:pStyle w:val="Footer"/>
          <w:jc w:val="right"/>
        </w:pPr>
        <w:r>
          <w:rPr>
            <w:noProof/>
            <w:lang w:val="en-GB" w:eastAsia="en-GB"/>
          </w:rPr>
          <w:drawing>
            <wp:inline distT="0" distB="0" distL="0" distR="0">
              <wp:extent cx="5943600" cy="4940300"/>
              <wp:effectExtent l="0" t="0" r="0" b="0"/>
              <wp:docPr id="2" name="Picture 1"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5943600" cy="4940300"/>
                      </a:xfrm>
                      <a:prstGeom prst="rect">
                        <a:avLst/>
                      </a:prstGeom>
                    </pic:spPr>
                  </pic:pic>
                </a:graphicData>
              </a:graphic>
            </wp:inline>
          </w:drawing>
        </w:r>
      </w:p>
    </w:sdtContent>
  </w:sdt>
  <w:p w:rsidR="003760C6" w:rsidRDefault="003760C6" w:rsidP="00342574">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574" w:rsidRDefault="00342574" w:rsidP="00342574">
      <w:pPr>
        <w:spacing w:after="0" w:line="240" w:lineRule="auto"/>
      </w:pPr>
      <w:r>
        <w:separator/>
      </w:r>
    </w:p>
  </w:footnote>
  <w:footnote w:type="continuationSeparator" w:id="0">
    <w:p w:rsidR="00342574" w:rsidRDefault="00342574" w:rsidP="003425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74" w:rsidRPr="00342574" w:rsidRDefault="006504EF">
    <w:pPr>
      <w:pStyle w:val="Header"/>
      <w:rPr>
        <w:lang w:val="de-AT"/>
      </w:rPr>
    </w:pPr>
    <w:hyperlink r:id="rId1" w:history="1">
      <w:r w:rsidR="00342574" w:rsidRPr="00342574">
        <w:rPr>
          <w:rStyle w:val="Hyperlink"/>
          <w:rFonts w:ascii="Arial" w:hAnsi="Arial" w:cs="Arial"/>
          <w:lang w:val="de-AT"/>
        </w:rPr>
        <w:t>www.face.eu</w:t>
      </w:r>
    </w:hyperlink>
    <w:r w:rsidR="00342574" w:rsidRPr="00342574">
      <w:rPr>
        <w:rFonts w:ascii="Arial" w:hAnsi="Arial" w:cs="Arial"/>
        <w:lang w:val="de-AT"/>
      </w:rPr>
      <w:t xml:space="preserve"> - April 2013: FACE Information zu Feuerwaffen</w:t>
    </w:r>
  </w:p>
  <w:p w:rsidR="00342574" w:rsidRPr="00342574" w:rsidRDefault="00342574">
    <w:pPr>
      <w:pStyle w:val="Header"/>
      <w:rPr>
        <w:lang w:val="de-A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485D20"/>
    <w:multiLevelType w:val="hybridMultilevel"/>
    <w:tmpl w:val="534AB06A"/>
    <w:lvl w:ilvl="0" w:tplc="3CB4590A">
      <w:numFmt w:val="bullet"/>
      <w:lvlText w:val="-"/>
      <w:lvlJc w:val="left"/>
      <w:pPr>
        <w:ind w:left="1080" w:hanging="720"/>
      </w:pPr>
      <w:rPr>
        <w:rFonts w:ascii="Garamond" w:eastAsiaTheme="minorHAns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37F024A"/>
    <w:multiLevelType w:val="hybridMultilevel"/>
    <w:tmpl w:val="E3EEA21A"/>
    <w:lvl w:ilvl="0" w:tplc="6C46450A">
      <w:start w:val="1"/>
      <w:numFmt w:val="bullet"/>
      <w:lvlText w:val="•"/>
      <w:lvlJc w:val="left"/>
      <w:pPr>
        <w:ind w:left="720" w:hanging="360"/>
      </w:pPr>
      <w:rPr>
        <w:rFonts w:ascii="Calibri" w:hAnsi="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5190F98"/>
    <w:multiLevelType w:val="hybridMultilevel"/>
    <w:tmpl w:val="10C0F9EE"/>
    <w:lvl w:ilvl="0" w:tplc="6226C9D2">
      <w:numFmt w:val="bullet"/>
      <w:lvlText w:val="-"/>
      <w:lvlJc w:val="left"/>
      <w:pPr>
        <w:ind w:left="720" w:hanging="360"/>
      </w:pPr>
      <w:rPr>
        <w:rFonts w:ascii="Garamond" w:eastAsiaTheme="minorHAnsi" w:hAnsi="Garamond"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rsids>
    <w:rsidRoot w:val="008A4834"/>
    <w:rsid w:val="0001606B"/>
    <w:rsid w:val="00017631"/>
    <w:rsid w:val="00043552"/>
    <w:rsid w:val="00075EEC"/>
    <w:rsid w:val="000B7BD5"/>
    <w:rsid w:val="00133C28"/>
    <w:rsid w:val="001D6F50"/>
    <w:rsid w:val="00253FAF"/>
    <w:rsid w:val="00257369"/>
    <w:rsid w:val="00280F4E"/>
    <w:rsid w:val="002A416C"/>
    <w:rsid w:val="002B1700"/>
    <w:rsid w:val="002C737A"/>
    <w:rsid w:val="002F5519"/>
    <w:rsid w:val="00342574"/>
    <w:rsid w:val="003760C6"/>
    <w:rsid w:val="003A13FB"/>
    <w:rsid w:val="003E4BCD"/>
    <w:rsid w:val="004372B2"/>
    <w:rsid w:val="004679B4"/>
    <w:rsid w:val="004763F1"/>
    <w:rsid w:val="00505489"/>
    <w:rsid w:val="00521569"/>
    <w:rsid w:val="00525AF4"/>
    <w:rsid w:val="00547CA4"/>
    <w:rsid w:val="00597CD5"/>
    <w:rsid w:val="005C34D3"/>
    <w:rsid w:val="006504EF"/>
    <w:rsid w:val="006A7B76"/>
    <w:rsid w:val="006E54BF"/>
    <w:rsid w:val="006E6ACA"/>
    <w:rsid w:val="00702FFD"/>
    <w:rsid w:val="007067EA"/>
    <w:rsid w:val="0074257A"/>
    <w:rsid w:val="007537EF"/>
    <w:rsid w:val="00755A7D"/>
    <w:rsid w:val="007659EC"/>
    <w:rsid w:val="0076609A"/>
    <w:rsid w:val="007E374D"/>
    <w:rsid w:val="00826007"/>
    <w:rsid w:val="00832019"/>
    <w:rsid w:val="00841CD4"/>
    <w:rsid w:val="008A4834"/>
    <w:rsid w:val="008F5B62"/>
    <w:rsid w:val="00932F64"/>
    <w:rsid w:val="00940EB2"/>
    <w:rsid w:val="00964FCE"/>
    <w:rsid w:val="00965E81"/>
    <w:rsid w:val="009764ED"/>
    <w:rsid w:val="00997BC7"/>
    <w:rsid w:val="009D410F"/>
    <w:rsid w:val="00A162EB"/>
    <w:rsid w:val="00A16925"/>
    <w:rsid w:val="00A31218"/>
    <w:rsid w:val="00A34FDD"/>
    <w:rsid w:val="00A62327"/>
    <w:rsid w:val="00A666C6"/>
    <w:rsid w:val="00A94EA3"/>
    <w:rsid w:val="00AA4C9B"/>
    <w:rsid w:val="00AC673A"/>
    <w:rsid w:val="00B232B2"/>
    <w:rsid w:val="00B71511"/>
    <w:rsid w:val="00BF3346"/>
    <w:rsid w:val="00C063D7"/>
    <w:rsid w:val="00C238D6"/>
    <w:rsid w:val="00D21E57"/>
    <w:rsid w:val="00D90FDD"/>
    <w:rsid w:val="00D96180"/>
    <w:rsid w:val="00DA0B04"/>
    <w:rsid w:val="00DB7C36"/>
    <w:rsid w:val="00E04247"/>
    <w:rsid w:val="00E3324E"/>
    <w:rsid w:val="00E45A7B"/>
    <w:rsid w:val="00ED15EE"/>
    <w:rsid w:val="00ED6050"/>
    <w:rsid w:val="00F159AC"/>
    <w:rsid w:val="00FE62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4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925"/>
    <w:rPr>
      <w:rFonts w:ascii="Tahoma" w:hAnsi="Tahoma" w:cs="Tahoma"/>
      <w:sz w:val="16"/>
      <w:szCs w:val="16"/>
    </w:rPr>
  </w:style>
  <w:style w:type="character" w:styleId="CommentReference">
    <w:name w:val="annotation reference"/>
    <w:basedOn w:val="DefaultParagraphFont"/>
    <w:uiPriority w:val="99"/>
    <w:semiHidden/>
    <w:unhideWhenUsed/>
    <w:rsid w:val="00043552"/>
    <w:rPr>
      <w:sz w:val="16"/>
      <w:szCs w:val="16"/>
    </w:rPr>
  </w:style>
  <w:style w:type="paragraph" w:styleId="CommentText">
    <w:name w:val="annotation text"/>
    <w:basedOn w:val="Normal"/>
    <w:link w:val="CommentTextChar"/>
    <w:uiPriority w:val="99"/>
    <w:semiHidden/>
    <w:unhideWhenUsed/>
    <w:rsid w:val="00043552"/>
    <w:pPr>
      <w:spacing w:line="240" w:lineRule="auto"/>
    </w:pPr>
    <w:rPr>
      <w:sz w:val="20"/>
      <w:szCs w:val="20"/>
    </w:rPr>
  </w:style>
  <w:style w:type="character" w:customStyle="1" w:styleId="CommentTextChar">
    <w:name w:val="Comment Text Char"/>
    <w:basedOn w:val="DefaultParagraphFont"/>
    <w:link w:val="CommentText"/>
    <w:uiPriority w:val="99"/>
    <w:semiHidden/>
    <w:rsid w:val="00043552"/>
    <w:rPr>
      <w:sz w:val="20"/>
      <w:szCs w:val="20"/>
    </w:rPr>
  </w:style>
  <w:style w:type="paragraph" w:styleId="CommentSubject">
    <w:name w:val="annotation subject"/>
    <w:basedOn w:val="CommentText"/>
    <w:next w:val="CommentText"/>
    <w:link w:val="CommentSubjectChar"/>
    <w:uiPriority w:val="99"/>
    <w:semiHidden/>
    <w:unhideWhenUsed/>
    <w:rsid w:val="00043552"/>
    <w:rPr>
      <w:b/>
      <w:bCs/>
    </w:rPr>
  </w:style>
  <w:style w:type="character" w:customStyle="1" w:styleId="CommentSubjectChar">
    <w:name w:val="Comment Subject Char"/>
    <w:basedOn w:val="CommentTextChar"/>
    <w:link w:val="CommentSubject"/>
    <w:uiPriority w:val="99"/>
    <w:semiHidden/>
    <w:rsid w:val="00043552"/>
    <w:rPr>
      <w:b/>
      <w:bCs/>
      <w:sz w:val="20"/>
      <w:szCs w:val="20"/>
    </w:rPr>
  </w:style>
  <w:style w:type="paragraph" w:styleId="ListParagraph">
    <w:name w:val="List Paragraph"/>
    <w:basedOn w:val="Normal"/>
    <w:uiPriority w:val="34"/>
    <w:qFormat/>
    <w:rsid w:val="00133C28"/>
    <w:pPr>
      <w:ind w:left="720"/>
      <w:contextualSpacing/>
    </w:pPr>
  </w:style>
  <w:style w:type="character" w:styleId="Hyperlink">
    <w:name w:val="Hyperlink"/>
    <w:basedOn w:val="DefaultParagraphFont"/>
    <w:uiPriority w:val="99"/>
    <w:unhideWhenUsed/>
    <w:rsid w:val="00E04247"/>
    <w:rPr>
      <w:color w:val="0000FF" w:themeColor="hyperlink"/>
      <w:u w:val="single"/>
    </w:rPr>
  </w:style>
  <w:style w:type="paragraph" w:styleId="Header">
    <w:name w:val="header"/>
    <w:basedOn w:val="Normal"/>
    <w:link w:val="HeaderChar"/>
    <w:uiPriority w:val="99"/>
    <w:unhideWhenUsed/>
    <w:rsid w:val="0034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574"/>
  </w:style>
  <w:style w:type="paragraph" w:styleId="Footer">
    <w:name w:val="footer"/>
    <w:basedOn w:val="Normal"/>
    <w:link w:val="FooterChar"/>
    <w:uiPriority w:val="99"/>
    <w:unhideWhenUsed/>
    <w:rsid w:val="0034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5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925"/>
    <w:rPr>
      <w:rFonts w:ascii="Tahoma" w:hAnsi="Tahoma" w:cs="Tahoma"/>
      <w:sz w:val="16"/>
      <w:szCs w:val="16"/>
    </w:rPr>
  </w:style>
  <w:style w:type="character" w:styleId="CommentReference">
    <w:name w:val="annotation reference"/>
    <w:basedOn w:val="DefaultParagraphFont"/>
    <w:uiPriority w:val="99"/>
    <w:semiHidden/>
    <w:unhideWhenUsed/>
    <w:rsid w:val="00043552"/>
    <w:rPr>
      <w:sz w:val="16"/>
      <w:szCs w:val="16"/>
    </w:rPr>
  </w:style>
  <w:style w:type="paragraph" w:styleId="CommentText">
    <w:name w:val="annotation text"/>
    <w:basedOn w:val="Normal"/>
    <w:link w:val="CommentTextChar"/>
    <w:uiPriority w:val="99"/>
    <w:semiHidden/>
    <w:unhideWhenUsed/>
    <w:rsid w:val="00043552"/>
    <w:pPr>
      <w:spacing w:line="240" w:lineRule="auto"/>
    </w:pPr>
    <w:rPr>
      <w:sz w:val="20"/>
      <w:szCs w:val="20"/>
    </w:rPr>
  </w:style>
  <w:style w:type="character" w:customStyle="1" w:styleId="CommentTextChar">
    <w:name w:val="Comment Text Char"/>
    <w:basedOn w:val="DefaultParagraphFont"/>
    <w:link w:val="CommentText"/>
    <w:uiPriority w:val="99"/>
    <w:semiHidden/>
    <w:rsid w:val="00043552"/>
    <w:rPr>
      <w:sz w:val="20"/>
      <w:szCs w:val="20"/>
    </w:rPr>
  </w:style>
  <w:style w:type="paragraph" w:styleId="CommentSubject">
    <w:name w:val="annotation subject"/>
    <w:basedOn w:val="CommentText"/>
    <w:next w:val="CommentText"/>
    <w:link w:val="CommentSubjectChar"/>
    <w:uiPriority w:val="99"/>
    <w:semiHidden/>
    <w:unhideWhenUsed/>
    <w:rsid w:val="00043552"/>
    <w:rPr>
      <w:b/>
      <w:bCs/>
    </w:rPr>
  </w:style>
  <w:style w:type="character" w:customStyle="1" w:styleId="CommentSubjectChar">
    <w:name w:val="Comment Subject Char"/>
    <w:basedOn w:val="CommentTextChar"/>
    <w:link w:val="CommentSubject"/>
    <w:uiPriority w:val="99"/>
    <w:semiHidden/>
    <w:rsid w:val="00043552"/>
    <w:rPr>
      <w:b/>
      <w:bCs/>
      <w:sz w:val="20"/>
      <w:szCs w:val="20"/>
    </w:rPr>
  </w:style>
  <w:style w:type="paragraph" w:styleId="ListParagraph">
    <w:name w:val="List Paragraph"/>
    <w:basedOn w:val="Normal"/>
    <w:uiPriority w:val="34"/>
    <w:qFormat/>
    <w:rsid w:val="00133C28"/>
    <w:pPr>
      <w:ind w:left="720"/>
      <w:contextualSpacing/>
    </w:pPr>
  </w:style>
  <w:style w:type="character" w:styleId="Hyperlink">
    <w:name w:val="Hyperlink"/>
    <w:basedOn w:val="DefaultParagraphFont"/>
    <w:uiPriority w:val="99"/>
    <w:unhideWhenUsed/>
    <w:rsid w:val="00E04247"/>
    <w:rPr>
      <w:color w:val="0000FF" w:themeColor="hyperlink"/>
      <w:u w:val="single"/>
    </w:rPr>
  </w:style>
  <w:style w:type="paragraph" w:styleId="Header">
    <w:name w:val="header"/>
    <w:basedOn w:val="Normal"/>
    <w:link w:val="HeaderChar"/>
    <w:uiPriority w:val="99"/>
    <w:unhideWhenUsed/>
    <w:rsid w:val="0034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574"/>
  </w:style>
  <w:style w:type="paragraph" w:styleId="Footer">
    <w:name w:val="footer"/>
    <w:basedOn w:val="Normal"/>
    <w:link w:val="FooterChar"/>
    <w:uiPriority w:val="99"/>
    <w:unhideWhenUsed/>
    <w:rsid w:val="0034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5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ace.e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hyperlink" Target="http://www.fac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8430BA-D003-4108-87AA-58589A2DF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Marilise SAGHBINI</cp:lastModifiedBy>
  <cp:revision>6</cp:revision>
  <cp:lastPrinted>2013-04-24T14:37:00Z</cp:lastPrinted>
  <dcterms:created xsi:type="dcterms:W3CDTF">2013-04-29T11:37:00Z</dcterms:created>
  <dcterms:modified xsi:type="dcterms:W3CDTF">2013-04-30T12:21:00Z</dcterms:modified>
</cp:coreProperties>
</file>